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EE0A">
      <w:pPr>
        <w:widowControl/>
        <w:adjustRightInd w:val="0"/>
        <w:snapToGrid w:val="0"/>
        <w:spacing w:line="360" w:lineRule="auto"/>
        <w:jc w:val="left"/>
        <w:rPr>
          <w:rFonts w:hint="eastAsia" w:ascii="宋体" w:hAnsi="宋体" w:eastAsia="宋体"/>
          <w:sz w:val="28"/>
          <w:szCs w:val="28"/>
          <w:lang w:val="en-US" w:eastAsia="zh-CN"/>
        </w:rPr>
      </w:pPr>
    </w:p>
    <w:p w14:paraId="3AD5EA4D">
      <w:pPr>
        <w:widowControl/>
        <w:adjustRightInd w:val="0"/>
        <w:snapToGrid w:val="0"/>
        <w:spacing w:line="360" w:lineRule="auto"/>
        <w:jc w:val="left"/>
        <w:rPr>
          <w:rFonts w:ascii="宋体" w:hAnsi="宋体" w:eastAsia="宋体"/>
          <w:sz w:val="44"/>
          <w:szCs w:val="44"/>
        </w:rPr>
      </w:pPr>
    </w:p>
    <w:p w14:paraId="73EE6989">
      <w:pPr>
        <w:widowControl/>
        <w:adjustRightInd w:val="0"/>
        <w:snapToGrid w:val="0"/>
        <w:ind w:firstLine="560"/>
        <w:jc w:val="center"/>
        <w:rPr>
          <w:rFonts w:ascii="宋体" w:hAnsi="宋体" w:eastAsia="宋体"/>
          <w:color w:val="000000"/>
          <w:sz w:val="28"/>
        </w:rPr>
      </w:pPr>
    </w:p>
    <w:p w14:paraId="61A4EAE9">
      <w:pPr>
        <w:widowControl/>
        <w:spacing w:line="450" w:lineRule="atLeast"/>
        <w:jc w:val="center"/>
        <w:rPr>
          <w:rFonts w:ascii="Arial" w:hAnsi="Arial" w:eastAsia="宋体" w:cs="Arial"/>
          <w:color w:val="333333"/>
          <w:kern w:val="0"/>
          <w:sz w:val="36"/>
          <w:szCs w:val="36"/>
        </w:rPr>
      </w:pPr>
      <w:r>
        <w:rPr>
          <w:rFonts w:hint="eastAsia" w:ascii="Arial" w:hAnsi="Arial" w:eastAsia="宋体" w:cs="Arial"/>
          <w:color w:val="333333"/>
          <w:kern w:val="0"/>
          <w:sz w:val="36"/>
          <w:szCs w:val="36"/>
          <w:lang w:eastAsia="zh-CN"/>
        </w:rPr>
        <w:t>高州垃圾发电项目2025</w:t>
      </w:r>
      <w:r>
        <w:rPr>
          <w:rFonts w:hint="eastAsia" w:ascii="Arial" w:hAnsi="Arial" w:eastAsia="宋体" w:cs="Arial"/>
          <w:color w:val="333333"/>
          <w:kern w:val="0"/>
          <w:sz w:val="36"/>
          <w:szCs w:val="36"/>
          <w:lang w:val="en-US" w:eastAsia="zh-CN"/>
        </w:rPr>
        <w:t>-2026</w:t>
      </w:r>
      <w:r>
        <w:rPr>
          <w:rFonts w:hint="eastAsia" w:ascii="Arial" w:hAnsi="Arial" w:eastAsia="宋体" w:cs="Arial"/>
          <w:color w:val="333333"/>
          <w:kern w:val="0"/>
          <w:sz w:val="36"/>
          <w:szCs w:val="36"/>
          <w:lang w:eastAsia="zh-CN"/>
        </w:rPr>
        <w:t>年尿素</w:t>
      </w:r>
      <w:r>
        <w:rPr>
          <w:rFonts w:hint="eastAsia" w:ascii="Arial" w:hAnsi="Arial" w:eastAsia="宋体" w:cs="Arial"/>
          <w:color w:val="333333"/>
          <w:kern w:val="0"/>
          <w:sz w:val="36"/>
          <w:szCs w:val="36"/>
          <w:lang w:val="en-US" w:eastAsia="zh-CN"/>
        </w:rPr>
        <w:t>招标</w:t>
      </w:r>
      <w:r>
        <w:rPr>
          <w:rFonts w:hint="eastAsia" w:ascii="Arial" w:hAnsi="Arial" w:eastAsia="宋体" w:cs="Arial"/>
          <w:color w:val="333333"/>
          <w:kern w:val="0"/>
          <w:sz w:val="36"/>
          <w:szCs w:val="36"/>
        </w:rPr>
        <w:t>采购</w:t>
      </w:r>
    </w:p>
    <w:p w14:paraId="2A55C8D8">
      <w:pPr>
        <w:widowControl/>
        <w:adjustRightInd w:val="0"/>
        <w:snapToGrid w:val="0"/>
        <w:spacing w:line="360" w:lineRule="auto"/>
        <w:jc w:val="center"/>
        <w:rPr>
          <w:rFonts w:ascii="宋体" w:hAnsi="宋体" w:eastAsia="宋体"/>
          <w:sz w:val="44"/>
          <w:szCs w:val="44"/>
        </w:rPr>
      </w:pPr>
    </w:p>
    <w:p w14:paraId="6DC295C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38921D8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bookmarkStart w:id="0" w:name="OLE_LINK2"/>
      <w:r>
        <w:rPr>
          <w:rFonts w:hint="eastAsia" w:ascii="宋体" w:hAnsi="宋体" w:eastAsia="宋体"/>
          <w:sz w:val="30"/>
          <w:szCs w:val="30"/>
        </w:rPr>
        <w:t>ITB-</w:t>
      </w:r>
      <w:bookmarkEnd w:id="0"/>
      <w:r>
        <w:rPr>
          <w:rFonts w:hint="eastAsia" w:ascii="宋体" w:hAnsi="宋体" w:eastAsia="宋体"/>
          <w:sz w:val="30"/>
          <w:szCs w:val="30"/>
          <w:lang w:eastAsia="zh-CN"/>
        </w:rPr>
        <w:t>LK-MMLK-ZB-JC2026-003</w:t>
      </w:r>
      <w:r>
        <w:rPr>
          <w:rFonts w:hint="eastAsia" w:ascii="宋体" w:hAnsi="宋体" w:eastAsia="宋体"/>
          <w:sz w:val="30"/>
          <w:szCs w:val="30"/>
        </w:rPr>
        <w:t>）</w:t>
      </w:r>
    </w:p>
    <w:p w14:paraId="10402FD1">
      <w:pPr>
        <w:widowControl/>
        <w:tabs>
          <w:tab w:val="left" w:pos="6840"/>
        </w:tabs>
        <w:adjustRightInd w:val="0"/>
        <w:snapToGrid w:val="0"/>
        <w:spacing w:line="360" w:lineRule="auto"/>
        <w:jc w:val="center"/>
        <w:rPr>
          <w:rFonts w:ascii="宋体" w:hAnsi="宋体" w:eastAsia="宋体"/>
          <w:sz w:val="28"/>
          <w:szCs w:val="28"/>
        </w:rPr>
      </w:pPr>
    </w:p>
    <w:p w14:paraId="427CA283">
      <w:pPr>
        <w:widowControl/>
        <w:tabs>
          <w:tab w:val="left" w:pos="6840"/>
        </w:tabs>
        <w:adjustRightInd w:val="0"/>
        <w:snapToGrid w:val="0"/>
        <w:spacing w:line="360" w:lineRule="auto"/>
        <w:jc w:val="center"/>
        <w:rPr>
          <w:rFonts w:ascii="宋体" w:hAnsi="宋体" w:eastAsia="宋体"/>
          <w:sz w:val="28"/>
          <w:szCs w:val="28"/>
        </w:rPr>
      </w:pPr>
    </w:p>
    <w:p w14:paraId="67887372">
      <w:pPr>
        <w:widowControl/>
        <w:tabs>
          <w:tab w:val="left" w:pos="6840"/>
        </w:tabs>
        <w:adjustRightInd w:val="0"/>
        <w:snapToGrid w:val="0"/>
        <w:spacing w:line="360" w:lineRule="auto"/>
        <w:jc w:val="center"/>
        <w:rPr>
          <w:rFonts w:ascii="宋体" w:hAnsi="宋体" w:eastAsia="宋体"/>
          <w:sz w:val="28"/>
          <w:szCs w:val="28"/>
        </w:rPr>
      </w:pPr>
    </w:p>
    <w:p w14:paraId="0CDDBD79">
      <w:pPr>
        <w:widowControl/>
        <w:tabs>
          <w:tab w:val="left" w:pos="6840"/>
        </w:tabs>
        <w:adjustRightInd w:val="0"/>
        <w:snapToGrid w:val="0"/>
        <w:spacing w:line="360" w:lineRule="auto"/>
        <w:jc w:val="center"/>
        <w:rPr>
          <w:rFonts w:ascii="宋体" w:hAnsi="宋体" w:eastAsia="宋体"/>
          <w:sz w:val="28"/>
          <w:szCs w:val="28"/>
        </w:rPr>
      </w:pPr>
    </w:p>
    <w:p w14:paraId="1D17CFC5">
      <w:pPr>
        <w:widowControl/>
        <w:tabs>
          <w:tab w:val="left" w:pos="6840"/>
        </w:tabs>
        <w:adjustRightInd w:val="0"/>
        <w:snapToGrid w:val="0"/>
        <w:spacing w:line="360" w:lineRule="auto"/>
        <w:jc w:val="center"/>
        <w:rPr>
          <w:rFonts w:ascii="宋体" w:hAnsi="宋体" w:eastAsia="宋体"/>
          <w:sz w:val="28"/>
          <w:szCs w:val="28"/>
        </w:rPr>
      </w:pPr>
    </w:p>
    <w:p w14:paraId="572D9E5A">
      <w:pPr>
        <w:widowControl/>
        <w:tabs>
          <w:tab w:val="left" w:pos="6840"/>
        </w:tabs>
        <w:adjustRightInd w:val="0"/>
        <w:snapToGrid w:val="0"/>
        <w:spacing w:line="360" w:lineRule="auto"/>
        <w:jc w:val="center"/>
        <w:rPr>
          <w:rFonts w:ascii="宋体" w:hAnsi="宋体" w:eastAsia="宋体"/>
          <w:sz w:val="28"/>
          <w:szCs w:val="28"/>
        </w:rPr>
      </w:pPr>
    </w:p>
    <w:p w14:paraId="14612049">
      <w:pPr>
        <w:jc w:val="center"/>
        <w:rPr>
          <w:rFonts w:ascii="宋体" w:hAnsi="宋体" w:eastAsia="宋体"/>
          <w:sz w:val="28"/>
          <w:szCs w:val="28"/>
        </w:rPr>
      </w:pPr>
    </w:p>
    <w:p w14:paraId="2C3112A3">
      <w:pPr>
        <w:jc w:val="center"/>
        <w:rPr>
          <w:rFonts w:ascii="宋体" w:hAnsi="宋体" w:eastAsia="宋体"/>
          <w:sz w:val="28"/>
          <w:szCs w:val="28"/>
        </w:rPr>
      </w:pPr>
    </w:p>
    <w:p w14:paraId="24EE483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朗坤环保能源（茂名）有限公司</w:t>
      </w:r>
    </w:p>
    <w:p w14:paraId="2A11BBA1">
      <w:pPr>
        <w:ind w:firstLine="3900" w:firstLineChars="1300"/>
        <w:jc w:val="both"/>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r>
        <w:rPr>
          <w:rFonts w:ascii="宋体" w:hAnsi="宋体" w:eastAsia="宋体"/>
          <w:sz w:val="30"/>
          <w:szCs w:val="30"/>
        </w:rPr>
        <w:t>202</w:t>
      </w:r>
      <w:r>
        <w:rPr>
          <w:rFonts w:hint="eastAsia" w:ascii="宋体" w:hAnsi="宋体" w:eastAsia="宋体"/>
          <w:sz w:val="30"/>
          <w:szCs w:val="30"/>
          <w:lang w:val="en-US" w:eastAsia="zh-CN"/>
        </w:rPr>
        <w:t>5</w:t>
      </w:r>
      <w:r>
        <w:rPr>
          <w:rFonts w:ascii="宋体" w:hAnsi="宋体" w:eastAsia="宋体"/>
          <w:sz w:val="30"/>
          <w:szCs w:val="30"/>
        </w:rPr>
        <w:t>年</w:t>
      </w:r>
      <w:r>
        <w:rPr>
          <w:rFonts w:hint="eastAsia" w:ascii="宋体" w:hAnsi="宋体" w:eastAsia="宋体"/>
          <w:sz w:val="30"/>
          <w:szCs w:val="30"/>
          <w:lang w:val="en-US" w:eastAsia="zh-CN"/>
        </w:rPr>
        <w:t>5</w:t>
      </w:r>
      <w:r>
        <w:rPr>
          <w:rFonts w:ascii="宋体" w:hAnsi="宋体" w:eastAsia="宋体"/>
          <w:sz w:val="30"/>
          <w:szCs w:val="30"/>
        </w:rPr>
        <w:t>月</w:t>
      </w:r>
    </w:p>
    <w:p w14:paraId="7A8BA8CB">
      <w:pPr>
        <w:widowControl/>
        <w:spacing w:before="75" w:line="270" w:lineRule="atLeast"/>
        <w:jc w:val="left"/>
        <w:rPr>
          <w:rFonts w:ascii="Tahoma" w:hAnsi="Tahoma" w:eastAsia="宋体" w:cs="Tahoma"/>
          <w:color w:val="000000"/>
          <w:kern w:val="0"/>
          <w:sz w:val="18"/>
          <w:szCs w:val="18"/>
        </w:rPr>
      </w:pPr>
      <w:bookmarkStart w:id="1" w:name="_Toc91073131"/>
      <w:bookmarkStart w:id="2" w:name="_Toc184635054"/>
      <w:bookmarkStart w:id="3" w:name="_Toc176085606"/>
      <w:bookmarkStart w:id="4" w:name="_Toc456800242"/>
      <w:bookmarkStart w:id="5" w:name="_Toc456799687"/>
      <w:bookmarkStart w:id="6" w:name="_Toc456799795"/>
      <w:bookmarkStart w:id="7" w:name="_Toc456800136"/>
      <w:bookmarkStart w:id="8" w:name="_Toc456800085"/>
      <w:bookmarkStart w:id="9" w:name="_Toc456799947"/>
      <w:bookmarkStart w:id="10" w:name="_Toc456800166"/>
      <w:r>
        <w:rPr>
          <w:rFonts w:hint="eastAsia" w:ascii="宋体" w:hAnsi="宋体" w:eastAsia="宋体" w:cs="Tahoma"/>
          <w:color w:val="000000"/>
          <w:kern w:val="0"/>
          <w:szCs w:val="21"/>
        </w:rPr>
        <w:t>本招标项目高州绿能环保发电项目已由</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投资建设完成，朗坤环保能源（茂名）有限公司进行运营管理，企业筹划资金，现对该项目相关运营物资及技术服务进行招采</w:t>
      </w:r>
      <w:r>
        <w:rPr>
          <w:rFonts w:hint="eastAsia" w:ascii="宋体" w:hAnsi="宋体" w:eastAsia="宋体" w:cs="Tahoma"/>
          <w:color w:val="000000"/>
          <w:kern w:val="0"/>
          <w:szCs w:val="21"/>
          <w:lang w:val="en-US" w:eastAsia="zh-CN"/>
        </w:rPr>
        <w:t>购</w:t>
      </w:r>
      <w:r>
        <w:rPr>
          <w:rFonts w:hint="eastAsia" w:ascii="宋体" w:hAnsi="宋体" w:eastAsia="宋体" w:cs="Tahoma"/>
          <w:color w:val="000000"/>
          <w:kern w:val="0"/>
          <w:szCs w:val="21"/>
        </w:rPr>
        <w:t>。</w:t>
      </w:r>
    </w:p>
    <w:bookmarkEnd w:id="1"/>
    <w:bookmarkEnd w:id="2"/>
    <w:p w14:paraId="60016E6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一、项目名称：</w:t>
      </w:r>
      <w:r>
        <w:rPr>
          <w:rFonts w:hint="eastAsia" w:ascii="宋体" w:hAnsi="宋体" w:eastAsia="宋体" w:cs="Tahoma"/>
          <w:color w:val="000000"/>
          <w:kern w:val="0"/>
          <w:szCs w:val="21"/>
          <w:lang w:eastAsia="zh-CN"/>
        </w:rPr>
        <w:t>朗坤环保能源（茂名）有限公司</w:t>
      </w:r>
      <w:r>
        <w:rPr>
          <w:rFonts w:hint="eastAsia" w:ascii="宋体" w:hAnsi="宋体" w:eastAsia="宋体" w:cs="Tahoma"/>
          <w:color w:val="000000"/>
          <w:kern w:val="0"/>
          <w:szCs w:val="21"/>
        </w:rPr>
        <w:t>项目</w:t>
      </w:r>
    </w:p>
    <w:p w14:paraId="106DB17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二、项目地址：</w:t>
      </w:r>
      <w:r>
        <w:rPr>
          <w:rFonts w:hint="eastAsia" w:ascii="Calibri" w:hAnsi="宋体" w:eastAsia="宋体" w:cs="Calibri"/>
          <w:kern w:val="0"/>
          <w:szCs w:val="24"/>
          <w:lang w:eastAsia="zh-CN"/>
        </w:rPr>
        <w:t>广东省茂名高州市金山工业区高州绿能环保发电项目现场</w:t>
      </w:r>
      <w:r>
        <w:rPr>
          <w:rFonts w:hint="eastAsia" w:ascii="宋体" w:hAnsi="宋体" w:eastAsia="宋体" w:cs="Tahoma"/>
          <w:color w:val="000000"/>
          <w:kern w:val="0"/>
          <w:szCs w:val="21"/>
        </w:rPr>
        <w:t>。</w:t>
      </w:r>
    </w:p>
    <w:p w14:paraId="45784374">
      <w:pPr>
        <w:widowControl/>
        <w:jc w:val="left"/>
        <w:rPr>
          <w:rFonts w:hint="default" w:ascii="Tahoma" w:hAnsi="Tahoma" w:eastAsia="宋体" w:cs="Tahoma"/>
          <w:color w:val="000000"/>
          <w:kern w:val="0"/>
          <w:sz w:val="18"/>
          <w:szCs w:val="18"/>
          <w:lang w:val="en-US" w:eastAsia="zh-CN"/>
        </w:rPr>
      </w:pPr>
      <w:r>
        <w:rPr>
          <w:rFonts w:hint="eastAsia" w:ascii="宋体" w:hAnsi="宋体" w:eastAsia="宋体" w:cs="Tahoma"/>
          <w:color w:val="000000"/>
          <w:kern w:val="0"/>
          <w:szCs w:val="21"/>
        </w:rPr>
        <w:t>三、招标编号：</w:t>
      </w:r>
      <w:r>
        <w:rPr>
          <w:rFonts w:hint="eastAsia" w:ascii="宋体" w:hAnsi="宋体" w:eastAsia="宋体" w:cs="Tahoma"/>
          <w:b/>
          <w:bCs/>
          <w:color w:val="000000"/>
          <w:kern w:val="0"/>
          <w:szCs w:val="21"/>
          <w:lang w:eastAsia="zh-CN"/>
        </w:rPr>
        <w:t>LK-ZB-EB-2025022</w:t>
      </w:r>
    </w:p>
    <w:p w14:paraId="7AE8B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四、采购方式：邀请招标（在线报价）</w:t>
      </w:r>
    </w:p>
    <w:p w14:paraId="0CFC00E3">
      <w:pPr>
        <w:spacing w:line="360" w:lineRule="auto"/>
        <w:jc w:val="left"/>
        <w:rPr>
          <w:rFonts w:ascii="Tahoma" w:hAnsi="Tahoma" w:eastAsia="宋体" w:cs="Tahoma"/>
          <w:color w:val="000000"/>
          <w:kern w:val="0"/>
          <w:sz w:val="18"/>
          <w:szCs w:val="18"/>
        </w:rPr>
      </w:pPr>
      <w:r>
        <w:rPr>
          <w:rFonts w:hint="eastAsia" w:ascii="宋体" w:hAnsi="宋体" w:eastAsia="宋体" w:cs="Tahoma"/>
          <w:color w:val="000000"/>
          <w:kern w:val="0"/>
          <w:szCs w:val="21"/>
        </w:rPr>
        <w:t>五、采购内容：暂定采购数量</w:t>
      </w:r>
      <w:r>
        <w:rPr>
          <w:rFonts w:hint="eastAsia" w:ascii="宋体" w:hAnsi="宋体" w:eastAsia="宋体" w:cs="Tahoma"/>
          <w:color w:val="000000"/>
          <w:kern w:val="0"/>
          <w:szCs w:val="21"/>
          <w:lang w:val="en-US" w:eastAsia="zh-CN"/>
        </w:rPr>
        <w:t>150</w:t>
      </w:r>
      <w:r>
        <w:rPr>
          <w:rFonts w:hint="eastAsia" w:ascii="宋体" w:hAnsi="宋体" w:eastAsia="宋体" w:cs="Tahoma"/>
          <w:color w:val="000000"/>
          <w:kern w:val="0"/>
          <w:szCs w:val="21"/>
        </w:rPr>
        <w:t>吨</w:t>
      </w:r>
      <w:r>
        <w:rPr>
          <w:rFonts w:hint="eastAsia" w:ascii="宋体" w:hAnsi="宋体" w:eastAsia="宋体" w:cs="Tahoma"/>
          <w:color w:val="000000"/>
          <w:kern w:val="0"/>
          <w:szCs w:val="21"/>
          <w:lang w:eastAsia="zh-CN"/>
        </w:rPr>
        <w:t>尿素</w:t>
      </w:r>
      <w:r>
        <w:rPr>
          <w:rFonts w:hint="eastAsia" w:ascii="宋体" w:hAnsi="宋体" w:eastAsia="宋体" w:cs="Tahoma"/>
          <w:color w:val="000000"/>
          <w:kern w:val="0"/>
          <w:szCs w:val="21"/>
        </w:rPr>
        <w:t>，尿素含氮量</w:t>
      </w:r>
      <w:r>
        <w:rPr>
          <w:rFonts w:ascii="宋体" w:hAnsi="宋体" w:eastAsia="宋体" w:cs="Tahoma"/>
          <w:color w:val="000000"/>
          <w:kern w:val="0"/>
          <w:szCs w:val="21"/>
        </w:rPr>
        <w:t>≥</w:t>
      </w:r>
      <w:r>
        <w:rPr>
          <w:rFonts w:hint="eastAsia" w:ascii="宋体" w:hAnsi="宋体" w:eastAsia="宋体" w:cs="Tahoma"/>
          <w:color w:val="000000"/>
          <w:kern w:val="0"/>
          <w:szCs w:val="21"/>
        </w:rPr>
        <w:t>46</w:t>
      </w:r>
      <w:r>
        <w:rPr>
          <w:rFonts w:ascii="宋体" w:hAnsi="宋体" w:eastAsia="宋体" w:cs="Tahoma"/>
          <w:color w:val="000000"/>
          <w:kern w:val="0"/>
          <w:szCs w:val="21"/>
        </w:rPr>
        <w:t>%、</w:t>
      </w:r>
      <w:r>
        <w:rPr>
          <w:rFonts w:hint="eastAsia" w:ascii="宋体" w:hAnsi="宋体" w:eastAsia="宋体" w:cs="Tahoma"/>
          <w:color w:val="000000"/>
          <w:kern w:val="0"/>
          <w:szCs w:val="21"/>
        </w:rPr>
        <w:t>缩二脲</w:t>
      </w:r>
      <w:r>
        <w:rPr>
          <w:rFonts w:ascii="宋体" w:hAnsi="宋体" w:eastAsia="宋体" w:cs="Tahoma"/>
          <w:color w:val="000000"/>
          <w:kern w:val="0"/>
          <w:szCs w:val="21"/>
        </w:rPr>
        <w:t>≤</w:t>
      </w:r>
      <w:r>
        <w:rPr>
          <w:rFonts w:hint="eastAsia" w:ascii="宋体" w:hAnsi="宋体" w:eastAsia="宋体" w:cs="Tahoma"/>
          <w:color w:val="000000"/>
          <w:kern w:val="0"/>
          <w:szCs w:val="21"/>
        </w:rPr>
        <w:t>1.0%、水分</w:t>
      </w:r>
      <w:r>
        <w:rPr>
          <w:rFonts w:ascii="宋体" w:hAnsi="宋体" w:eastAsia="宋体" w:cs="Tahoma"/>
          <w:color w:val="000000"/>
          <w:kern w:val="0"/>
          <w:szCs w:val="21"/>
        </w:rPr>
        <w:t>≤</w:t>
      </w:r>
      <w:r>
        <w:rPr>
          <w:rFonts w:hint="eastAsia" w:ascii="宋体" w:hAnsi="宋体" w:eastAsia="宋体" w:cs="Tahoma"/>
          <w:color w:val="000000"/>
          <w:kern w:val="0"/>
          <w:szCs w:val="21"/>
        </w:rPr>
        <w:t>0.7%</w:t>
      </w:r>
      <w:r>
        <w:rPr>
          <w:rFonts w:ascii="宋体" w:hAnsi="宋体" w:eastAsia="宋体" w:cs="Tahoma"/>
          <w:color w:val="000000"/>
          <w:kern w:val="0"/>
          <w:szCs w:val="21"/>
        </w:rPr>
        <w:t xml:space="preserve"> ，GB</w:t>
      </w:r>
      <w:r>
        <w:rPr>
          <w:rFonts w:hint="eastAsia" w:ascii="宋体" w:hAnsi="宋体" w:eastAsia="宋体" w:cs="Tahoma"/>
          <w:color w:val="000000"/>
          <w:kern w:val="0"/>
          <w:szCs w:val="21"/>
        </w:rPr>
        <w:t xml:space="preserve">/T </w:t>
      </w:r>
      <w:r>
        <w:rPr>
          <w:rFonts w:ascii="宋体" w:hAnsi="宋体" w:eastAsia="宋体" w:cs="Tahoma"/>
          <w:color w:val="000000"/>
          <w:kern w:val="0"/>
          <w:szCs w:val="21"/>
        </w:rPr>
        <w:t>2440—20</w:t>
      </w:r>
      <w:r>
        <w:rPr>
          <w:rFonts w:hint="eastAsia" w:ascii="宋体" w:hAnsi="宋体" w:eastAsia="宋体" w:cs="Tahoma"/>
          <w:color w:val="000000"/>
          <w:kern w:val="0"/>
          <w:szCs w:val="21"/>
        </w:rPr>
        <w:t>17质量</w:t>
      </w:r>
      <w:r>
        <w:rPr>
          <w:rFonts w:ascii="宋体" w:hAnsi="宋体" w:eastAsia="宋体" w:cs="Tahoma"/>
          <w:color w:val="000000"/>
          <w:kern w:val="0"/>
          <w:szCs w:val="21"/>
        </w:rPr>
        <w:t>标准</w:t>
      </w:r>
      <w:r>
        <w:rPr>
          <w:rFonts w:hint="eastAsia" w:ascii="宋体" w:hAnsi="宋体" w:eastAsia="宋体" w:cs="Tahoma"/>
          <w:color w:val="000000"/>
          <w:kern w:val="0"/>
          <w:szCs w:val="21"/>
        </w:rPr>
        <w:t>农用尿素优等品、含增值税</w:t>
      </w:r>
      <w:r>
        <w:rPr>
          <w:rFonts w:ascii="宋体" w:hAnsi="宋体" w:eastAsia="宋体" w:cs="Tahoma"/>
          <w:color w:val="000000"/>
          <w:kern w:val="0"/>
          <w:szCs w:val="21"/>
        </w:rPr>
        <w:t>9% 、</w:t>
      </w:r>
      <w:r>
        <w:rPr>
          <w:rFonts w:hint="eastAsia" w:ascii="宋体" w:hAnsi="宋体" w:eastAsia="宋体" w:cs="Tahoma"/>
          <w:color w:val="000000"/>
          <w:kern w:val="0"/>
          <w:szCs w:val="21"/>
        </w:rPr>
        <w:t>含运费保险费用、含卸货费。</w:t>
      </w:r>
    </w:p>
    <w:p w14:paraId="23EA25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六、用途说明：垃圾焚烧项目使用，</w:t>
      </w:r>
      <w:r>
        <w:rPr>
          <w:rFonts w:hint="eastAsia" w:ascii="宋体" w:hAnsi="宋体" w:eastAsia="宋体" w:cs="Tahoma"/>
          <w:color w:val="000000"/>
          <w:kern w:val="0"/>
          <w:szCs w:val="21"/>
          <w:lang w:val="en-US" w:eastAsia="zh-CN"/>
        </w:rPr>
        <w:t>交货时间：</w:t>
      </w:r>
      <w:r>
        <w:rPr>
          <w:rFonts w:hint="eastAsia" w:ascii="宋体" w:hAnsi="宋体" w:eastAsia="宋体" w:cs="Tahoma"/>
          <w:color w:val="000000"/>
          <w:kern w:val="0"/>
          <w:szCs w:val="21"/>
          <w:lang w:eastAsia="zh-CN"/>
        </w:rPr>
        <w:t>2025年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月21日到202</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年</w:t>
      </w:r>
      <w:r>
        <w:rPr>
          <w:rFonts w:hint="eastAsia" w:ascii="宋体" w:hAnsi="宋体" w:eastAsia="宋体" w:cs="Tahoma"/>
          <w:color w:val="000000"/>
          <w:kern w:val="0"/>
          <w:szCs w:val="21"/>
          <w:lang w:val="en-US" w:eastAsia="zh-CN"/>
        </w:rPr>
        <w:t>6</w:t>
      </w:r>
      <w:r>
        <w:rPr>
          <w:rFonts w:hint="eastAsia" w:ascii="宋体" w:hAnsi="宋体" w:eastAsia="宋体" w:cs="Tahoma"/>
          <w:color w:val="000000"/>
          <w:kern w:val="0"/>
          <w:szCs w:val="21"/>
          <w:lang w:eastAsia="zh-CN"/>
        </w:rPr>
        <w:t>月20日</w:t>
      </w:r>
      <w:r>
        <w:rPr>
          <w:rFonts w:hint="eastAsia" w:ascii="宋体" w:hAnsi="宋体" w:eastAsia="宋体" w:cs="Tahoma"/>
          <w:color w:val="000000"/>
          <w:kern w:val="0"/>
          <w:szCs w:val="21"/>
        </w:rPr>
        <w:t>。</w:t>
      </w:r>
    </w:p>
    <w:p w14:paraId="57B9F47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七、询价文件获取方式：有意向标投者请登录本司官网招标采购平台</w:t>
      </w:r>
      <w:r>
        <w:rPr>
          <w:rFonts w:hint="eastAsia" w:ascii="宋体" w:hAnsi="宋体" w:eastAsia="宋体" w:cs="Tahoma"/>
          <w:color w:val="000000"/>
          <w:kern w:val="0"/>
          <w:szCs w:val="21"/>
          <w:u w:val="single"/>
          <w:lang w:val="en-US" w:eastAsia="zh-CN"/>
        </w:rPr>
        <w:t>http://ebidding.leoking.com/Bidding/list_125.aspx</w:t>
      </w:r>
      <w:r>
        <w:rPr>
          <w:rFonts w:hint="eastAsia" w:ascii="宋体" w:hAnsi="宋体" w:eastAsia="宋体" w:cs="Tahoma"/>
          <w:color w:val="000000"/>
          <w:kern w:val="0"/>
          <w:szCs w:val="21"/>
        </w:rPr>
        <w:t>会员注册审核通过后，自行下载电子询价文件。</w:t>
      </w:r>
    </w:p>
    <w:p w14:paraId="4568C65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八、供应商资格要求：</w:t>
      </w:r>
    </w:p>
    <w:p w14:paraId="7141C8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投标人不限本国或外国，但必须在国内有具有独立法人资格的相应办事机构。</w:t>
      </w:r>
    </w:p>
    <w:p w14:paraId="694773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具有相似的设备应用案例，并且稳定运行3年以上。</w:t>
      </w:r>
    </w:p>
    <w:p w14:paraId="5C0DC98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投标人提供可供招标方进行实地考察的案例资料，包括：项目名称、地点、项目主要技术参数、投入运行时间等。</w:t>
      </w:r>
    </w:p>
    <w:p w14:paraId="1D4F6732">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投标人在近3年内不曾在任何合同中有违约或属投标人的原因而被终止合同。</w:t>
      </w:r>
    </w:p>
    <w:p w14:paraId="4BE60D0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处于正常营业期内的独立法人或独立经营主体。</w:t>
      </w:r>
    </w:p>
    <w:p w14:paraId="0B76598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能按照招标方要求提供相关的证明文件和手续。</w:t>
      </w:r>
    </w:p>
    <w:p w14:paraId="01226AFC">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具有良好的银行资信和商业信誉，没有处于被责令停业、财产被接管、冻结、破产和重组状态。</w:t>
      </w:r>
    </w:p>
    <w:p w14:paraId="58F3085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招标人认为需满足的其它条件。</w:t>
      </w:r>
    </w:p>
    <w:p w14:paraId="4040AD3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收到招标邀请并不代表受邀方完全具备合格投标资格。</w:t>
      </w:r>
    </w:p>
    <w:p w14:paraId="2B85C91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九、响应文件递交方式：</w:t>
      </w:r>
    </w:p>
    <w:p w14:paraId="244049C7">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9.1投标截止时间：</w:t>
      </w:r>
      <w:r>
        <w:rPr>
          <w:rFonts w:hint="eastAsia" w:ascii="宋体" w:hAnsi="宋体" w:eastAsia="宋体" w:cs="Tahoma"/>
          <w:color w:val="000000"/>
          <w:kern w:val="0"/>
          <w:szCs w:val="21"/>
          <w:u w:val="single"/>
          <w:lang w:eastAsia="zh-CN"/>
        </w:rPr>
        <w:t>202</w:t>
      </w:r>
      <w:r>
        <w:rPr>
          <w:rFonts w:hint="eastAsia" w:ascii="宋体" w:hAnsi="宋体" w:eastAsia="宋体" w:cs="Tahoma"/>
          <w:color w:val="000000"/>
          <w:kern w:val="0"/>
          <w:szCs w:val="21"/>
          <w:u w:val="single"/>
          <w:lang w:val="en-US" w:eastAsia="zh-CN"/>
        </w:rPr>
        <w:t>5</w:t>
      </w:r>
      <w:r>
        <w:rPr>
          <w:rFonts w:hint="eastAsia" w:ascii="宋体" w:hAnsi="宋体" w:eastAsia="宋体" w:cs="Tahoma"/>
          <w:color w:val="000000"/>
          <w:kern w:val="0"/>
          <w:szCs w:val="21"/>
          <w:u w:val="single"/>
          <w:lang w:eastAsia="zh-CN"/>
        </w:rPr>
        <w:t>年</w:t>
      </w:r>
      <w:r>
        <w:rPr>
          <w:rFonts w:hint="eastAsia" w:ascii="宋体" w:hAnsi="宋体" w:eastAsia="宋体" w:cs="Tahoma"/>
          <w:color w:val="000000"/>
          <w:kern w:val="0"/>
          <w:szCs w:val="21"/>
          <w:u w:val="single"/>
          <w:lang w:val="en-US" w:eastAsia="zh-CN"/>
        </w:rPr>
        <w:t>5</w:t>
      </w:r>
      <w:r>
        <w:rPr>
          <w:rFonts w:hint="eastAsia" w:ascii="宋体" w:hAnsi="宋体" w:eastAsia="宋体" w:cs="Tahoma"/>
          <w:color w:val="000000"/>
          <w:kern w:val="0"/>
          <w:szCs w:val="21"/>
          <w:u w:val="single"/>
          <w:lang w:eastAsia="zh-CN"/>
        </w:rPr>
        <w:t>月</w:t>
      </w:r>
      <w:r>
        <w:rPr>
          <w:rFonts w:hint="eastAsia" w:ascii="宋体" w:hAnsi="宋体" w:eastAsia="宋体" w:cs="Tahoma"/>
          <w:color w:val="000000"/>
          <w:kern w:val="0"/>
          <w:szCs w:val="21"/>
          <w:u w:val="single"/>
          <w:lang w:val="en-US" w:eastAsia="zh-CN"/>
        </w:rPr>
        <w:t>26</w:t>
      </w:r>
      <w:r>
        <w:rPr>
          <w:rFonts w:hint="eastAsia" w:ascii="宋体" w:hAnsi="宋体" w:eastAsia="宋体" w:cs="Tahoma"/>
          <w:color w:val="000000"/>
          <w:kern w:val="0"/>
          <w:szCs w:val="21"/>
          <w:u w:val="single"/>
          <w:lang w:eastAsia="zh-CN"/>
        </w:rPr>
        <w:t>日</w:t>
      </w:r>
      <w:r>
        <w:rPr>
          <w:rFonts w:hint="eastAsia" w:ascii="宋体" w:hAnsi="宋体" w:eastAsia="宋体" w:cs="Tahoma"/>
          <w:color w:val="000000"/>
          <w:kern w:val="0"/>
          <w:szCs w:val="21"/>
          <w:u w:val="single"/>
          <w:lang w:val="en-US" w:eastAsia="zh-CN"/>
        </w:rPr>
        <w:t>18</w:t>
      </w:r>
      <w:r>
        <w:rPr>
          <w:rFonts w:hint="eastAsia" w:ascii="宋体" w:hAnsi="宋体" w:eastAsia="宋体" w:cs="Tahoma"/>
          <w:color w:val="000000"/>
          <w:kern w:val="0"/>
          <w:szCs w:val="21"/>
          <w:u w:val="single"/>
        </w:rPr>
        <w:t>:00</w:t>
      </w:r>
      <w:r>
        <w:rPr>
          <w:rFonts w:hint="eastAsia" w:ascii="宋体" w:hAnsi="宋体" w:eastAsia="宋体" w:cs="Tahoma"/>
          <w:color w:val="000000"/>
          <w:kern w:val="0"/>
          <w:szCs w:val="21"/>
        </w:rPr>
        <w:t>时前，逾期不受理。</w:t>
      </w:r>
    </w:p>
    <w:p w14:paraId="0D56E7C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9.2投档方式</w:t>
      </w:r>
      <w:r>
        <w:rPr>
          <w:rFonts w:hint="eastAsia" w:ascii="宋体" w:hAnsi="宋体" w:eastAsia="宋体" w:cs="Tahoma"/>
          <w:b/>
          <w:bCs/>
          <w:color w:val="000000"/>
          <w:kern w:val="0"/>
          <w:szCs w:val="21"/>
          <w:u w:val="single"/>
        </w:rPr>
        <w:t>：</w:t>
      </w:r>
      <w:r>
        <w:rPr>
          <w:rFonts w:hint="eastAsia" w:ascii="宋体" w:hAnsi="宋体" w:eastAsia="宋体" w:cs="Tahoma"/>
          <w:color w:val="000000"/>
          <w:kern w:val="0"/>
          <w:szCs w:val="21"/>
          <w:u w:val="single"/>
        </w:rPr>
        <w:t>选择第（2）电子档投递方式</w:t>
      </w:r>
    </w:p>
    <w:p w14:paraId="59517C5A">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（1）纸质档投递方式：报价文件须密封后于投标截止时间前送到开标地点，快递或上门送件方式，地点</w:t>
      </w:r>
      <w:r>
        <w:rPr>
          <w:rFonts w:hint="eastAsia" w:ascii="宋体" w:hAnsi="宋体" w:eastAsia="宋体" w:cs="Tahoma"/>
          <w:color w:val="000000"/>
          <w:kern w:val="0"/>
          <w:szCs w:val="21"/>
          <w:u w:val="single"/>
        </w:rPr>
        <w:t>：深圳市龙岗区坪地街道高桥社区朗坤科技园10楼招标采购中心收。</w:t>
      </w:r>
    </w:p>
    <w:p w14:paraId="6DC45A7B">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2）电子档投递方式：投标截止时间前登录朗坤环境官网招标采购平台https://www.leoking.com/Bidding/list_125.aspx，会员登录后在采购信息栏目招标项目上点击“我要报价”，将报价文件以电子档压缩文件*.zip或*.rar格式上传（只允许上传1个压缩包，并且将报价文件扫描件PDF档加盖有效章印+office可编辑档一起压缩）。</w:t>
      </w:r>
      <w:r>
        <w:rPr>
          <w:rFonts w:hint="eastAsia" w:ascii="宋体" w:hAnsi="宋体" w:eastAsia="宋体" w:cs="Tahoma"/>
          <w:b/>
          <w:bCs/>
          <w:color w:val="000000"/>
          <w:kern w:val="0"/>
          <w:szCs w:val="21"/>
          <w:u w:val="single"/>
        </w:rPr>
        <w:t>报价文件压缩时要求使用密码加密，开标时再提供密码解压。</w:t>
      </w:r>
    </w:p>
    <w:p w14:paraId="7FB3C821">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9.3逾期收到或不符合招标文件要求的投标文件恕不接受，开标时间另行通知。</w:t>
      </w:r>
    </w:p>
    <w:p w14:paraId="0B698E1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十、联系方式</w:t>
      </w:r>
    </w:p>
    <w:p w14:paraId="170990ED">
      <w:pPr>
        <w:widowControl/>
        <w:jc w:val="left"/>
        <w:rPr>
          <w:rFonts w:hint="eastAsia" w:ascii="Tahoma" w:hAnsi="Tahoma" w:eastAsia="宋体" w:cs="Tahoma"/>
          <w:color w:val="000000"/>
          <w:kern w:val="0"/>
          <w:sz w:val="18"/>
          <w:szCs w:val="18"/>
          <w:lang w:eastAsia="zh-CN"/>
        </w:rPr>
      </w:pPr>
      <w:r>
        <w:rPr>
          <w:rFonts w:hint="eastAsia" w:ascii="宋体" w:hAnsi="宋体" w:eastAsia="宋体" w:cs="Tahoma"/>
          <w:b/>
          <w:bCs/>
          <w:color w:val="000000"/>
          <w:kern w:val="0"/>
          <w:szCs w:val="21"/>
        </w:rPr>
        <w:t>招标询价人：</w:t>
      </w:r>
      <w:r>
        <w:rPr>
          <w:rFonts w:hint="eastAsia" w:ascii="宋体" w:hAnsi="宋体" w:eastAsia="宋体" w:cs="Tahoma"/>
          <w:color w:val="000000"/>
          <w:kern w:val="0"/>
          <w:szCs w:val="21"/>
          <w:lang w:eastAsia="zh-CN"/>
        </w:rPr>
        <w:t>朗坤环保能源（茂名）有限公司</w:t>
      </w:r>
    </w:p>
    <w:p w14:paraId="72637181">
      <w:pPr>
        <w:widowControl/>
        <w:jc w:val="left"/>
        <w:rPr>
          <w:rFonts w:ascii="Tahoma" w:hAnsi="Tahoma" w:eastAsia="宋体" w:cs="Tahoma"/>
          <w:color w:val="000000"/>
          <w:kern w:val="0"/>
          <w:sz w:val="18"/>
          <w:szCs w:val="18"/>
        </w:rPr>
      </w:pPr>
      <w:r>
        <w:rPr>
          <w:rFonts w:hint="eastAsia" w:ascii="宋体" w:hAnsi="宋体" w:eastAsia="宋体" w:cs="Tahoma"/>
          <w:b/>
          <w:bCs/>
          <w:color w:val="000000"/>
          <w:kern w:val="0"/>
          <w:szCs w:val="21"/>
        </w:rPr>
        <w:t>地址：</w:t>
      </w:r>
      <w:r>
        <w:rPr>
          <w:rFonts w:hint="eastAsia" w:ascii="宋体" w:hAnsi="宋体" w:eastAsia="宋体" w:cs="Tahoma"/>
          <w:color w:val="000000"/>
          <w:kern w:val="0"/>
          <w:szCs w:val="21"/>
        </w:rPr>
        <w:t>深圳市龙岗区坪地街道高桥社区朗坤科技园10楼</w:t>
      </w:r>
    </w:p>
    <w:p w14:paraId="2DB56F6E">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联系人：余巍</w:t>
      </w:r>
      <w:r>
        <w:rPr>
          <w:rFonts w:hint="eastAsia" w:ascii="宋体" w:hAnsi="宋体" w:eastAsia="宋体" w:cs="Tahoma"/>
          <w:color w:val="000000"/>
          <w:kern w:val="0"/>
          <w:szCs w:val="21"/>
          <w:lang w:val="en-US" w:eastAsia="zh-CN"/>
        </w:rPr>
        <w:t xml:space="preserve">    </w:t>
      </w:r>
      <w:r>
        <w:rPr>
          <w:rFonts w:hint="eastAsia" w:ascii="宋体" w:hAnsi="宋体" w:eastAsia="宋体" w:cs="Tahoma"/>
          <w:color w:val="000000"/>
          <w:kern w:val="0"/>
          <w:szCs w:val="21"/>
        </w:rPr>
        <w:t>电话：18938329908</w:t>
      </w:r>
    </w:p>
    <w:p w14:paraId="72563835">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邮箱：79033</w:t>
      </w:r>
      <w:r>
        <w:rPr>
          <w:rFonts w:hint="eastAsia" w:ascii="宋体" w:hAnsi="宋体" w:eastAsia="宋体" w:cs="Tahoma"/>
          <w:color w:val="000000"/>
          <w:kern w:val="0"/>
          <w:szCs w:val="21"/>
          <w:lang w:eastAsia="zh-CN"/>
        </w:rPr>
        <w:t>150</w:t>
      </w:r>
      <w:r>
        <w:rPr>
          <w:rFonts w:hint="eastAsia" w:ascii="宋体" w:hAnsi="宋体" w:eastAsia="宋体" w:cs="Tahoma"/>
          <w:color w:val="000000"/>
          <w:kern w:val="0"/>
          <w:szCs w:val="21"/>
        </w:rPr>
        <w:t>@qq.com</w:t>
      </w:r>
    </w:p>
    <w:p w14:paraId="6C990D3D">
      <w:pPr>
        <w:widowControl/>
        <w:jc w:val="left"/>
        <w:rPr>
          <w:rFonts w:ascii="Tahoma" w:hAnsi="Tahoma" w:eastAsia="宋体" w:cs="Tahoma"/>
          <w:color w:val="000000"/>
          <w:kern w:val="0"/>
          <w:sz w:val="18"/>
          <w:szCs w:val="18"/>
        </w:rPr>
      </w:pPr>
      <w:r>
        <w:rPr>
          <w:rFonts w:hint="eastAsia" w:ascii="宋体" w:hAnsi="宋体" w:eastAsia="宋体" w:cs="Tahoma"/>
          <w:color w:val="000000"/>
          <w:kern w:val="0"/>
          <w:szCs w:val="21"/>
        </w:rPr>
        <w:t>本采购文件及附件内容的一切解释权归</w:t>
      </w:r>
      <w:r>
        <w:rPr>
          <w:rFonts w:hint="eastAsia" w:ascii="宋体" w:hAnsi="宋体" w:eastAsia="宋体" w:cs="Tahoma"/>
          <w:color w:val="000000"/>
          <w:kern w:val="0"/>
          <w:szCs w:val="21"/>
          <w:lang w:eastAsia="zh-CN"/>
        </w:rPr>
        <w:t>朗坤科技股份</w:t>
      </w:r>
      <w:r>
        <w:rPr>
          <w:rFonts w:hint="eastAsia" w:ascii="宋体" w:hAnsi="宋体" w:eastAsia="宋体" w:cs="Tahoma"/>
          <w:color w:val="000000"/>
          <w:kern w:val="0"/>
          <w:szCs w:val="21"/>
        </w:rPr>
        <w:t>所有。</w:t>
      </w:r>
    </w:p>
    <w:p w14:paraId="7BDA496B"/>
    <w:p w14:paraId="731F3BDF">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CAFA7DA">
      <w:pPr>
        <w:pStyle w:val="3"/>
        <w:spacing w:line="360" w:lineRule="auto"/>
        <w:jc w:val="left"/>
        <w:rPr>
          <w:rFonts w:ascii="宋体" w:hAnsi="宋体"/>
          <w:b w:val="0"/>
          <w:color w:val="000000"/>
          <w:sz w:val="24"/>
          <w:szCs w:val="24"/>
        </w:rPr>
      </w:pPr>
      <w:bookmarkStart w:id="11" w:name="_Toc91073141"/>
      <w:r>
        <w:rPr>
          <w:rFonts w:hint="eastAsia" w:ascii="宋体" w:hAnsi="宋体"/>
          <w:b w:val="0"/>
          <w:color w:val="000000"/>
          <w:sz w:val="24"/>
          <w:szCs w:val="24"/>
        </w:rPr>
        <w:t>附件 1-1：投标意向确认书格式</w:t>
      </w:r>
      <w:bookmarkEnd w:id="3"/>
      <w:bookmarkEnd w:id="11"/>
    </w:p>
    <w:p w14:paraId="512597B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rPr>
        <w:t>深</w:t>
      </w:r>
      <w:r>
        <w:rPr>
          <w:rFonts w:ascii="宋体" w:hAnsi="宋体" w:eastAsia="宋体"/>
          <w:color w:val="000000"/>
          <w:szCs w:val="24"/>
        </w:rPr>
        <w:t>圳</w:t>
      </w:r>
      <w:r>
        <w:rPr>
          <w:rFonts w:hint="eastAsia" w:ascii="宋体" w:hAnsi="宋体" w:eastAsia="宋体"/>
          <w:color w:val="000000"/>
          <w:szCs w:val="24"/>
        </w:rPr>
        <w:t>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D4C7572">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5C31240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余巍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31EC30B">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职务：</w:t>
      </w:r>
      <w:r>
        <w:rPr>
          <w:rFonts w:hint="eastAsia" w:ascii="宋体" w:hAnsi="宋体" w:eastAsia="宋体"/>
          <w:color w:val="000000"/>
          <w:szCs w:val="24"/>
          <w:u w:val="single"/>
        </w:rPr>
        <w:t xml:space="preserve">                     </w:t>
      </w:r>
    </w:p>
    <w:p w14:paraId="293051FC">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ascii="宋体" w:hAnsi="宋体" w:eastAsia="宋体"/>
          <w:color w:val="000000"/>
          <w:szCs w:val="24"/>
          <w:u w:val="single"/>
        </w:rPr>
        <w:t>18938329908</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65691AA8">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019388F6">
      <w:pPr>
        <w:spacing w:line="360" w:lineRule="auto"/>
        <w:ind w:firstLine="480" w:firstLineChars="200"/>
        <w:jc w:val="center"/>
        <w:rPr>
          <w:rFonts w:ascii="宋体" w:hAnsi="宋体" w:eastAsia="宋体"/>
          <w:color w:val="000000"/>
          <w:szCs w:val="24"/>
        </w:rPr>
      </w:pPr>
    </w:p>
    <w:p w14:paraId="6D67307E">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7F6F8D39">
      <w:pPr>
        <w:spacing w:line="360" w:lineRule="auto"/>
        <w:rPr>
          <w:rFonts w:ascii="宋体" w:hAnsi="宋体" w:eastAsia="宋体"/>
          <w:bCs/>
          <w:color w:val="000000"/>
          <w:szCs w:val="24"/>
        </w:rPr>
      </w:pPr>
    </w:p>
    <w:p w14:paraId="70E4FB45">
      <w:pPr>
        <w:spacing w:line="360" w:lineRule="auto"/>
        <w:rPr>
          <w:rFonts w:ascii="宋体" w:hAnsi="宋体" w:eastAsia="宋体"/>
          <w:color w:val="000000"/>
          <w:szCs w:val="24"/>
        </w:rPr>
      </w:pPr>
    </w:p>
    <w:p w14:paraId="266956D4">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朗坤环保能源（茂名）有限公司尿素</w:t>
      </w:r>
      <w:r>
        <w:rPr>
          <w:rFonts w:ascii="宋体" w:hAnsi="宋体" w:eastAsia="宋体"/>
          <w:color w:val="0000FF"/>
          <w:szCs w:val="24"/>
          <w:u w:val="single"/>
        </w:rPr>
        <w:t>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招标编号：ITB-</w:t>
      </w:r>
      <w:r>
        <w:rPr>
          <w:rFonts w:hint="eastAsia" w:ascii="宋体" w:hAnsi="宋体" w:eastAsia="宋体"/>
          <w:color w:val="0000FF"/>
          <w:szCs w:val="24"/>
          <w:lang w:eastAsia="zh-CN"/>
        </w:rPr>
        <w:t xml:space="preserve">LK-MMLK-ZB-JC2026-003 </w:t>
      </w:r>
      <w:r>
        <w:rPr>
          <w:rFonts w:hint="eastAsia" w:ascii="宋体" w:hAnsi="宋体" w:eastAsia="宋体"/>
          <w:szCs w:val="24"/>
        </w:rPr>
        <w:t>)</w:t>
      </w:r>
      <w:r>
        <w:rPr>
          <w:rFonts w:hint="eastAsia" w:ascii="宋体" w:hAnsi="宋体" w:eastAsia="宋体"/>
          <w:color w:val="0000FF"/>
          <w:szCs w:val="24"/>
        </w:rPr>
        <w:t>。</w:t>
      </w:r>
    </w:p>
    <w:p w14:paraId="740FB557">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14244ECB">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067CEA10">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53A24968">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w:t>
      </w:r>
    </w:p>
    <w:p w14:paraId="0DBD9B50">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8E702EA">
      <w:pPr>
        <w:spacing w:line="360" w:lineRule="auto"/>
        <w:ind w:firstLine="480"/>
        <w:rPr>
          <w:rFonts w:ascii="宋体" w:hAnsi="宋体" w:eastAsia="宋体"/>
          <w:color w:val="000000"/>
          <w:szCs w:val="24"/>
        </w:rPr>
      </w:pPr>
    </w:p>
    <w:p w14:paraId="0A6798AA">
      <w:pPr>
        <w:spacing w:line="360" w:lineRule="auto"/>
        <w:ind w:left="6264" w:leftChars="2610" w:firstLine="720" w:firstLineChars="300"/>
        <w:rPr>
          <w:rFonts w:ascii="宋体" w:hAnsi="宋体" w:eastAsia="宋体"/>
          <w:color w:val="000000"/>
          <w:szCs w:val="24"/>
        </w:rPr>
      </w:pPr>
    </w:p>
    <w:p w14:paraId="39DD46C5">
      <w:pPr>
        <w:spacing w:line="360" w:lineRule="auto"/>
        <w:ind w:left="6264" w:leftChars="2610" w:firstLine="720" w:firstLineChars="300"/>
        <w:rPr>
          <w:rFonts w:ascii="宋体" w:hAnsi="宋体" w:eastAsia="宋体"/>
          <w:color w:val="000000"/>
          <w:szCs w:val="24"/>
        </w:rPr>
      </w:pPr>
    </w:p>
    <w:p w14:paraId="0DD12910">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74D67114">
      <w:pPr>
        <w:spacing w:line="360" w:lineRule="auto"/>
        <w:ind w:left="6264" w:leftChars="2610" w:firstLine="720" w:firstLineChars="300"/>
        <w:rPr>
          <w:rFonts w:ascii="宋体" w:hAnsi="宋体" w:eastAsia="宋体"/>
          <w:color w:val="000000"/>
          <w:szCs w:val="24"/>
        </w:rPr>
      </w:pPr>
    </w:p>
    <w:p w14:paraId="0D44B4B7">
      <w:pPr>
        <w:spacing w:line="360" w:lineRule="auto"/>
        <w:ind w:left="6264" w:leftChars="2610" w:firstLine="720" w:firstLineChars="300"/>
        <w:rPr>
          <w:rFonts w:hint="eastAsia" w:ascii="宋体" w:hAnsi="宋体" w:eastAsia="宋体"/>
          <w:color w:val="000000"/>
          <w:szCs w:val="24"/>
          <w:u w:val="single"/>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bookmarkStart w:id="12" w:name="_Toc91073207"/>
    </w:p>
    <w:p w14:paraId="6E4A44A9">
      <w:pPr>
        <w:spacing w:line="360" w:lineRule="auto"/>
        <w:ind w:left="6264" w:leftChars="2610" w:firstLine="720" w:firstLineChars="300"/>
        <w:rPr>
          <w:rFonts w:hint="eastAsia" w:ascii="宋体" w:hAnsi="宋体" w:eastAsia="宋体"/>
          <w:color w:val="000000"/>
          <w:szCs w:val="24"/>
          <w:u w:val="single"/>
        </w:rPr>
      </w:pPr>
    </w:p>
    <w:p w14:paraId="3C246598">
      <w:pPr>
        <w:pStyle w:val="2"/>
        <w:spacing w:before="120" w:beforeLines="50" w:after="120" w:afterLines="50"/>
        <w:ind w:firstLine="3200" w:firstLineChars="1000"/>
        <w:jc w:val="both"/>
        <w:rPr>
          <w:rFonts w:ascii="宋体" w:hAnsi="宋体" w:eastAsia="宋体"/>
          <w:b w:val="0"/>
          <w:color w:val="000000"/>
          <w:sz w:val="32"/>
          <w:szCs w:val="32"/>
        </w:rPr>
      </w:pPr>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12"/>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22"/>
        <w:gridCol w:w="7958"/>
      </w:tblGrid>
      <w:tr w14:paraId="2EAE7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222" w:type="dxa"/>
            <w:tcBorders>
              <w:top w:val="single" w:color="auto" w:sz="4" w:space="0"/>
              <w:left w:val="single" w:color="auto" w:sz="4" w:space="0"/>
              <w:bottom w:val="single" w:color="auto" w:sz="4" w:space="0"/>
              <w:right w:val="single" w:color="auto" w:sz="4" w:space="0"/>
            </w:tcBorders>
            <w:vAlign w:val="center"/>
          </w:tcPr>
          <w:p w14:paraId="4D3D5AC5">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总体要求</w:t>
            </w:r>
          </w:p>
        </w:tc>
        <w:tc>
          <w:tcPr>
            <w:tcW w:w="7958" w:type="dxa"/>
            <w:tcBorders>
              <w:top w:val="single" w:color="auto" w:sz="4" w:space="0"/>
              <w:left w:val="single" w:color="auto" w:sz="4" w:space="0"/>
              <w:bottom w:val="single" w:color="auto" w:sz="4" w:space="0"/>
              <w:right w:val="single" w:color="auto" w:sz="4" w:space="0"/>
            </w:tcBorders>
            <w:vAlign w:val="center"/>
          </w:tcPr>
          <w:p w14:paraId="06558F8C">
            <w:pPr>
              <w:snapToGrid w:val="0"/>
              <w:spacing w:line="360" w:lineRule="auto"/>
              <w:rPr>
                <w:rFonts w:ascii="宋体" w:hAnsi="宋体" w:eastAsia="宋体"/>
                <w:color w:val="FF0000"/>
                <w:sz w:val="21"/>
                <w:szCs w:val="21"/>
              </w:rPr>
            </w:pPr>
            <w:r>
              <w:rPr>
                <w:rFonts w:hint="eastAsia" w:asciiTheme="minorEastAsia" w:hAnsiTheme="minorEastAsia" w:eastAsiaTheme="minorEastAsia"/>
              </w:rPr>
              <w:t>条款：</w:t>
            </w:r>
            <w:r>
              <w:rPr>
                <w:rFonts w:hint="eastAsia" w:asciiTheme="minorEastAsia" w:hAnsiTheme="minorEastAsia" w:eastAsiaTheme="minorEastAsia"/>
                <w:szCs w:val="24"/>
              </w:rPr>
              <w:t>包括不限于货物生产前准备、生产、运输（运输到业主指定交货地点）、燃料费、司机人员工资、转运、保护、装卸、保险、相关税费、验收（含出厂到货验收）、质量抽检、第三方检测、售后及技术服务（包括质保期保障）。</w:t>
            </w:r>
          </w:p>
        </w:tc>
      </w:tr>
      <w:tr w14:paraId="33E40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222" w:type="dxa"/>
            <w:tcBorders>
              <w:top w:val="single" w:color="auto" w:sz="4" w:space="0"/>
              <w:left w:val="single" w:color="auto" w:sz="4" w:space="0"/>
              <w:bottom w:val="single" w:color="auto" w:sz="4" w:space="0"/>
              <w:right w:val="single" w:color="auto" w:sz="4" w:space="0"/>
            </w:tcBorders>
            <w:vAlign w:val="center"/>
          </w:tcPr>
          <w:p w14:paraId="268881D2">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发票种类</w:t>
            </w:r>
          </w:p>
        </w:tc>
        <w:tc>
          <w:tcPr>
            <w:tcW w:w="7958" w:type="dxa"/>
            <w:tcBorders>
              <w:top w:val="single" w:color="auto" w:sz="4" w:space="0"/>
              <w:left w:val="single" w:color="auto" w:sz="4" w:space="0"/>
              <w:bottom w:val="single" w:color="auto" w:sz="4" w:space="0"/>
              <w:right w:val="single" w:color="auto" w:sz="4" w:space="0"/>
            </w:tcBorders>
            <w:vAlign w:val="center"/>
          </w:tcPr>
          <w:p w14:paraId="3847BAC5">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13%增值税专用发票（增值税发票）。</w:t>
            </w:r>
          </w:p>
        </w:tc>
      </w:tr>
      <w:tr w14:paraId="3C558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80" w:hRule="atLeast"/>
        </w:trPr>
        <w:tc>
          <w:tcPr>
            <w:tcW w:w="1222" w:type="dxa"/>
            <w:tcBorders>
              <w:top w:val="single" w:color="auto" w:sz="4" w:space="0"/>
              <w:left w:val="single" w:color="auto" w:sz="4" w:space="0"/>
              <w:bottom w:val="single" w:color="auto" w:sz="4" w:space="0"/>
              <w:right w:val="single" w:color="auto" w:sz="4" w:space="0"/>
            </w:tcBorders>
            <w:vAlign w:val="center"/>
          </w:tcPr>
          <w:p w14:paraId="74FC8933">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质保期</w:t>
            </w:r>
          </w:p>
        </w:tc>
        <w:tc>
          <w:tcPr>
            <w:tcW w:w="7958" w:type="dxa"/>
            <w:tcBorders>
              <w:top w:val="single" w:color="auto" w:sz="4" w:space="0"/>
              <w:left w:val="single" w:color="auto" w:sz="4" w:space="0"/>
              <w:bottom w:val="single" w:color="auto" w:sz="4" w:space="0"/>
              <w:right w:val="single" w:color="auto" w:sz="4" w:space="0"/>
            </w:tcBorders>
            <w:vAlign w:val="center"/>
          </w:tcPr>
          <w:p w14:paraId="0C4E515A">
            <w:pPr>
              <w:snapToGrid w:val="0"/>
              <w:spacing w:line="360" w:lineRule="auto"/>
              <w:rPr>
                <w:rFonts w:hint="eastAsia" w:cs="Times New Roman" w:asciiTheme="minorEastAsia" w:hAnsiTheme="minorEastAsia" w:eastAsiaTheme="minorEastAsia"/>
              </w:rPr>
            </w:pPr>
            <w:r>
              <w:rPr>
                <w:rFonts w:hint="eastAsia" w:asciiTheme="minorEastAsia" w:hAnsiTheme="minorEastAsia" w:eastAsiaTheme="minorEastAsia"/>
              </w:rPr>
              <w:t>半年</w:t>
            </w:r>
          </w:p>
        </w:tc>
      </w:tr>
      <w:tr w14:paraId="5615C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222" w:type="dxa"/>
            <w:tcBorders>
              <w:top w:val="single" w:color="auto" w:sz="4" w:space="0"/>
              <w:left w:val="single" w:color="auto" w:sz="4" w:space="0"/>
              <w:bottom w:val="single" w:color="auto" w:sz="4" w:space="0"/>
              <w:right w:val="single" w:color="auto" w:sz="4" w:space="0"/>
            </w:tcBorders>
            <w:vAlign w:val="center"/>
          </w:tcPr>
          <w:p w14:paraId="1BC34BEA">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交货时间及地点</w:t>
            </w:r>
          </w:p>
        </w:tc>
        <w:tc>
          <w:tcPr>
            <w:tcW w:w="7958" w:type="dxa"/>
            <w:tcBorders>
              <w:top w:val="single" w:color="auto" w:sz="4" w:space="0"/>
              <w:left w:val="single" w:color="auto" w:sz="4" w:space="0"/>
              <w:bottom w:val="single" w:color="auto" w:sz="4" w:space="0"/>
              <w:right w:val="single" w:color="auto" w:sz="4" w:space="0"/>
            </w:tcBorders>
            <w:vAlign w:val="center"/>
          </w:tcPr>
          <w:p w14:paraId="7E1A3AD5">
            <w:pPr>
              <w:snapToGrid w:val="0"/>
              <w:spacing w:line="360" w:lineRule="auto"/>
              <w:rPr>
                <w:rFonts w:asciiTheme="minorEastAsia" w:hAnsiTheme="minorEastAsia" w:eastAsiaTheme="minorEastAsia"/>
                <w:color w:val="000000"/>
              </w:rPr>
            </w:pPr>
            <w:r>
              <w:rPr>
                <w:rFonts w:hint="eastAsia" w:asciiTheme="minorEastAsia" w:hAnsiTheme="minorEastAsia" w:eastAsiaTheme="minorEastAsia"/>
                <w:color w:val="000000"/>
              </w:rPr>
              <w:t>交货时间：我司通知</w:t>
            </w:r>
          </w:p>
          <w:p w14:paraId="2549EAE3">
            <w:pPr>
              <w:snapToGrid w:val="0"/>
              <w:spacing w:line="360" w:lineRule="auto"/>
              <w:rPr>
                <w:rFonts w:ascii="宋体" w:hAnsi="宋体" w:eastAsia="宋体"/>
                <w:color w:val="FF0000"/>
                <w:sz w:val="21"/>
                <w:szCs w:val="21"/>
                <w:u w:val="single"/>
              </w:rPr>
            </w:pPr>
            <w:r>
              <w:rPr>
                <w:rFonts w:hint="eastAsia" w:asciiTheme="minorEastAsia" w:hAnsiTheme="minorEastAsia" w:eastAsiaTheme="minorEastAsia"/>
                <w:color w:val="000000"/>
              </w:rPr>
              <w:t>交货地点：</w:t>
            </w:r>
            <w:r>
              <w:rPr>
                <w:rFonts w:hint="eastAsia" w:asciiTheme="minorEastAsia" w:hAnsiTheme="minorEastAsia" w:eastAsiaTheme="minorEastAsia"/>
                <w:color w:val="000000"/>
                <w:u w:val="single"/>
              </w:rPr>
              <w:t xml:space="preserve"> 本项目所在地 </w:t>
            </w:r>
          </w:p>
        </w:tc>
      </w:tr>
      <w:tr w14:paraId="27B06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1" w:hRule="atLeast"/>
        </w:trPr>
        <w:tc>
          <w:tcPr>
            <w:tcW w:w="1222" w:type="dxa"/>
            <w:tcBorders>
              <w:top w:val="single" w:color="auto" w:sz="4" w:space="0"/>
              <w:left w:val="single" w:color="auto" w:sz="4" w:space="0"/>
              <w:bottom w:val="single" w:color="auto" w:sz="4" w:space="0"/>
              <w:right w:val="single" w:color="auto" w:sz="4" w:space="0"/>
            </w:tcBorders>
            <w:vAlign w:val="center"/>
          </w:tcPr>
          <w:p w14:paraId="68060F4C">
            <w:pPr>
              <w:snapToGrid w:val="0"/>
              <w:spacing w:line="360" w:lineRule="auto"/>
              <w:rPr>
                <w:rFonts w:hint="eastAsia" w:cs="Times New Roman" w:asciiTheme="minorEastAsia" w:hAnsiTheme="minorEastAsia" w:eastAsiaTheme="minorEastAsia"/>
              </w:rPr>
            </w:pPr>
            <w:r>
              <w:rPr>
                <w:rFonts w:hint="eastAsia" w:cs="Times New Roman" w:asciiTheme="minorEastAsia" w:hAnsiTheme="minorEastAsia" w:eastAsiaTheme="minorEastAsia"/>
              </w:rPr>
              <w:t>付款条件</w:t>
            </w:r>
          </w:p>
        </w:tc>
        <w:tc>
          <w:tcPr>
            <w:tcW w:w="7958" w:type="dxa"/>
            <w:tcBorders>
              <w:top w:val="single" w:color="auto" w:sz="4" w:space="0"/>
              <w:left w:val="single" w:color="auto" w:sz="4" w:space="0"/>
              <w:bottom w:val="single" w:color="auto" w:sz="4" w:space="0"/>
              <w:right w:val="single" w:color="auto" w:sz="4" w:space="0"/>
            </w:tcBorders>
            <w:vAlign w:val="center"/>
          </w:tcPr>
          <w:p w14:paraId="37EA8A07">
            <w:pPr>
              <w:snapToGrid w:val="0"/>
              <w:spacing w:line="360" w:lineRule="auto"/>
              <w:rPr>
                <w:rFonts w:hint="eastAsia" w:cs="Times New Roman" w:asciiTheme="minorEastAsia" w:hAnsiTheme="minorEastAsia" w:eastAsiaTheme="minorEastAsia"/>
              </w:rPr>
            </w:pPr>
            <w:r>
              <w:rPr>
                <w:rFonts w:hint="eastAsia" w:asciiTheme="minorEastAsia" w:hAnsiTheme="minorEastAsia" w:eastAsiaTheme="minorEastAsia"/>
              </w:rPr>
              <w:t>每月</w:t>
            </w:r>
            <w:r>
              <w:rPr>
                <w:rFonts w:hint="eastAsia" w:cs="Times New Roman" w:asciiTheme="minorEastAsia" w:hAnsiTheme="minorEastAsia" w:eastAsiaTheme="minorEastAsia"/>
              </w:rPr>
              <w:t>21号统计上月21-本月20日实际交货的数量（经甲方验收合格），通知乙方开票、实际付款时间为甲方收到乙方发票后</w:t>
            </w:r>
            <w:r>
              <w:rPr>
                <w:rFonts w:hint="eastAsia" w:cs="Times New Roman" w:asciiTheme="minorEastAsia" w:hAnsiTheme="minorEastAsia" w:eastAsiaTheme="minorEastAsia"/>
                <w:lang w:val="en-US" w:eastAsia="zh-CN"/>
              </w:rPr>
              <w:t>60</w:t>
            </w:r>
            <w:r>
              <w:rPr>
                <w:rFonts w:hint="eastAsia" w:cs="Times New Roman" w:asciiTheme="minorEastAsia" w:hAnsiTheme="minorEastAsia" w:eastAsiaTheme="minorEastAsia"/>
              </w:rPr>
              <w:t>天</w:t>
            </w:r>
            <w:r>
              <w:rPr>
                <w:rFonts w:hint="eastAsia" w:cs="Times New Roman" w:asciiTheme="minorEastAsia" w:hAnsiTheme="minorEastAsia" w:eastAsiaTheme="minorEastAsia"/>
                <w:lang w:val="en-US" w:eastAsia="zh-CN"/>
              </w:rPr>
              <w:t>内</w:t>
            </w:r>
            <w:r>
              <w:rPr>
                <w:rFonts w:hint="eastAsia" w:cs="Times New Roman" w:asciiTheme="minorEastAsia" w:hAnsiTheme="minorEastAsia" w:eastAsiaTheme="minorEastAsia"/>
              </w:rPr>
              <w:t>付款。</w:t>
            </w:r>
          </w:p>
        </w:tc>
      </w:tr>
      <w:tr w14:paraId="081EF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222" w:type="dxa"/>
            <w:tcBorders>
              <w:top w:val="single" w:color="auto" w:sz="4" w:space="0"/>
              <w:left w:val="single" w:color="auto" w:sz="4" w:space="0"/>
              <w:bottom w:val="single" w:color="auto" w:sz="4" w:space="0"/>
              <w:right w:val="single" w:color="auto" w:sz="4" w:space="0"/>
            </w:tcBorders>
            <w:vAlign w:val="center"/>
          </w:tcPr>
          <w:p w14:paraId="3C318F46">
            <w:pPr>
              <w:snapToGrid w:val="0"/>
              <w:spacing w:line="360" w:lineRule="auto"/>
              <w:rPr>
                <w:rFonts w:ascii="宋体" w:hAnsi="宋体" w:eastAsia="宋体"/>
                <w:color w:val="FF0000"/>
                <w:sz w:val="21"/>
                <w:szCs w:val="21"/>
              </w:rPr>
            </w:pPr>
            <w:r>
              <w:rPr>
                <w:rFonts w:hint="eastAsia" w:cs="Times New Roman"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4817A848">
            <w:pPr>
              <w:tabs>
                <w:tab w:val="left" w:pos="0"/>
                <w:tab w:val="left" w:pos="567"/>
                <w:tab w:val="left" w:pos="1107"/>
              </w:tabs>
              <w:spacing w:line="360" w:lineRule="auto"/>
              <w:rPr>
                <w:rFonts w:ascii="Calibri" w:hAnsi="宋体" w:eastAsia="宋体" w:cs="Calibri"/>
                <w:kern w:val="0"/>
                <w:szCs w:val="24"/>
              </w:rPr>
            </w:pPr>
            <w:r>
              <w:rPr>
                <w:rFonts w:hint="eastAsia" w:asciiTheme="minorEastAsia" w:hAnsiTheme="minorEastAsia" w:eastAsiaTheme="minorEastAsia"/>
              </w:rPr>
              <w:t>本合同为年度采购合同，招标项目选取两家单位作为供应商，第一中标人和第二中标人年度计划供应总量均为</w:t>
            </w:r>
            <w:r>
              <w:rPr>
                <w:rFonts w:hint="eastAsia" w:ascii="Calibri" w:hAnsi="宋体" w:eastAsia="宋体" w:cs="Calibri"/>
                <w:kern w:val="0"/>
                <w:szCs w:val="24"/>
                <w:lang w:val="en-US" w:eastAsia="zh-CN"/>
              </w:rPr>
              <w:t>150</w:t>
            </w:r>
            <w:r>
              <w:rPr>
                <w:rFonts w:hint="eastAsia" w:ascii="Calibri" w:hAnsi="宋体" w:eastAsia="宋体" w:cs="Calibri"/>
                <w:kern w:val="0"/>
                <w:szCs w:val="24"/>
              </w:rPr>
              <w:t>吨，不分先后顺序，由招标人根据项目需求及实际情况选择通知两名中标人随时送货，每车次具体供货数量按采购人供货通知为准，两名中标人在收到招标负责人通知（以订单形式、短信形式、电子邮件形式均可）送货后2日内交货到厂，如有特殊情况需要紧急供货时，中标人（包含第一中标、第二中标人）应在收到招标负责人订单或电子邮件、短信等通知后在10小时内交货到指定电厂项目。中标人应当常备充足的货物，在上述计划采购数量供应完毕后，合同期内招标人有权要求中标人继续供货，中标人不得提出任何异议，也不得要求招标人调整价格、支付任何赔偿或补偿。</w:t>
            </w:r>
          </w:p>
          <w:p w14:paraId="6D2EF832">
            <w:pPr>
              <w:spacing w:line="360" w:lineRule="auto"/>
              <w:rPr>
                <w:rFonts w:ascii="宋体" w:hAnsi="宋体" w:eastAsia="宋体"/>
                <w:color w:val="FF0000"/>
                <w:sz w:val="21"/>
                <w:szCs w:val="21"/>
              </w:rPr>
            </w:pPr>
            <w:r>
              <w:rPr>
                <w:rFonts w:hint="eastAsia" w:ascii="Calibri" w:hAnsi="宋体" w:eastAsia="宋体" w:cs="Calibri"/>
                <w:kern w:val="0"/>
                <w:szCs w:val="24"/>
              </w:rPr>
              <w:t>若</w:t>
            </w:r>
            <w:r>
              <w:rPr>
                <w:rFonts w:ascii="Calibri" w:hAnsi="宋体" w:eastAsia="宋体" w:cs="Calibri"/>
                <w:kern w:val="0"/>
                <w:szCs w:val="24"/>
              </w:rPr>
              <w:t>在</w:t>
            </w:r>
            <w:r>
              <w:rPr>
                <w:rFonts w:hint="eastAsia" w:ascii="Calibri" w:hAnsi="宋体" w:eastAsia="宋体" w:cs="Calibri"/>
                <w:kern w:val="0"/>
                <w:szCs w:val="24"/>
              </w:rPr>
              <w:t>项</w:t>
            </w:r>
            <w:r>
              <w:rPr>
                <w:rFonts w:ascii="Calibri" w:hAnsi="宋体" w:eastAsia="宋体" w:cs="Calibri"/>
                <w:kern w:val="0"/>
                <w:szCs w:val="24"/>
              </w:rPr>
              <w:t>目</w:t>
            </w:r>
            <w:r>
              <w:rPr>
                <w:rFonts w:hint="eastAsia" w:ascii="Calibri" w:hAnsi="宋体" w:eastAsia="宋体" w:cs="Calibri"/>
                <w:kern w:val="0"/>
                <w:szCs w:val="24"/>
              </w:rPr>
              <w:t>试</w:t>
            </w:r>
            <w:r>
              <w:rPr>
                <w:rFonts w:ascii="Calibri" w:hAnsi="宋体" w:eastAsia="宋体" w:cs="Calibri"/>
                <w:kern w:val="0"/>
                <w:szCs w:val="24"/>
              </w:rPr>
              <w:t>运行和调试过程中发现中标人所</w:t>
            </w:r>
            <w:r>
              <w:rPr>
                <w:rFonts w:hint="eastAsia" w:ascii="Calibri" w:hAnsi="宋体" w:eastAsia="宋体" w:cs="Calibri"/>
                <w:kern w:val="0"/>
                <w:szCs w:val="24"/>
              </w:rPr>
              <w:t>提</w:t>
            </w:r>
            <w:r>
              <w:rPr>
                <w:rFonts w:ascii="Calibri" w:hAnsi="宋体" w:eastAsia="宋体" w:cs="Calibri"/>
                <w:kern w:val="0"/>
                <w:szCs w:val="24"/>
              </w:rPr>
              <w:t>供的</w:t>
            </w:r>
            <w:r>
              <w:rPr>
                <w:rFonts w:hint="eastAsia" w:ascii="Calibri" w:hAnsi="宋体" w:eastAsia="宋体" w:cs="Calibri"/>
                <w:kern w:val="0"/>
                <w:szCs w:val="24"/>
              </w:rPr>
              <w:t>药剂</w:t>
            </w:r>
            <w:r>
              <w:rPr>
                <w:rFonts w:ascii="Calibri" w:hAnsi="宋体" w:eastAsia="宋体" w:cs="Calibri"/>
                <w:kern w:val="0"/>
                <w:szCs w:val="24"/>
              </w:rPr>
              <w:t>参数不符合</w:t>
            </w:r>
            <w:r>
              <w:rPr>
                <w:rFonts w:hint="eastAsia" w:ascii="Calibri" w:hAnsi="宋体" w:eastAsia="宋体" w:cs="Calibri"/>
                <w:kern w:val="0"/>
                <w:szCs w:val="24"/>
              </w:rPr>
              <w:t>招</w:t>
            </w:r>
            <w:r>
              <w:rPr>
                <w:rFonts w:ascii="Calibri" w:hAnsi="宋体" w:eastAsia="宋体" w:cs="Calibri"/>
                <w:kern w:val="0"/>
                <w:szCs w:val="24"/>
              </w:rPr>
              <w:t>标人使用要求，</w:t>
            </w:r>
            <w:r>
              <w:rPr>
                <w:rFonts w:hint="eastAsia" w:ascii="Calibri" w:hAnsi="宋体" w:eastAsia="宋体" w:cs="Calibri"/>
                <w:kern w:val="0"/>
                <w:szCs w:val="24"/>
              </w:rPr>
              <w:t>招</w:t>
            </w:r>
            <w:r>
              <w:rPr>
                <w:rFonts w:ascii="Calibri" w:hAnsi="宋体" w:eastAsia="宋体" w:cs="Calibri"/>
                <w:kern w:val="0"/>
                <w:szCs w:val="24"/>
              </w:rPr>
              <w:t>标人允许中标</w:t>
            </w:r>
            <w:r>
              <w:rPr>
                <w:rFonts w:hint="eastAsia" w:ascii="Calibri" w:hAnsi="宋体" w:eastAsia="宋体" w:cs="Calibri"/>
                <w:kern w:val="0"/>
                <w:szCs w:val="24"/>
              </w:rPr>
              <w:t>人免</w:t>
            </w:r>
            <w:r>
              <w:rPr>
                <w:rFonts w:ascii="Calibri" w:hAnsi="宋体" w:eastAsia="宋体" w:cs="Calibri"/>
                <w:kern w:val="0"/>
                <w:szCs w:val="24"/>
              </w:rPr>
              <w:t>费更换药剂至合</w:t>
            </w:r>
            <w:r>
              <w:rPr>
                <w:rFonts w:hint="eastAsia" w:ascii="Calibri" w:hAnsi="宋体" w:eastAsia="宋体" w:cs="Calibri"/>
                <w:kern w:val="0"/>
                <w:szCs w:val="24"/>
              </w:rPr>
              <w:t>格</w:t>
            </w:r>
            <w:r>
              <w:rPr>
                <w:rFonts w:ascii="Calibri" w:hAnsi="宋体" w:eastAsia="宋体" w:cs="Calibri"/>
                <w:kern w:val="0"/>
                <w:szCs w:val="24"/>
              </w:rPr>
              <w:t>为止</w:t>
            </w:r>
            <w:r>
              <w:rPr>
                <w:rFonts w:hint="eastAsia" w:ascii="Calibri" w:hAnsi="宋体" w:eastAsia="宋体" w:cs="Calibri"/>
                <w:kern w:val="0"/>
                <w:szCs w:val="24"/>
              </w:rPr>
              <w:t>，</w:t>
            </w:r>
            <w:r>
              <w:rPr>
                <w:rFonts w:ascii="Calibri" w:hAnsi="宋体" w:eastAsia="宋体" w:cs="Calibri"/>
                <w:kern w:val="0"/>
                <w:szCs w:val="24"/>
              </w:rPr>
              <w:t>也可</w:t>
            </w:r>
            <w:r>
              <w:rPr>
                <w:rFonts w:hint="eastAsia" w:ascii="Calibri" w:hAnsi="宋体" w:eastAsia="宋体" w:cs="Calibri"/>
                <w:kern w:val="0"/>
                <w:szCs w:val="24"/>
              </w:rPr>
              <w:t>选</w:t>
            </w:r>
            <w:r>
              <w:rPr>
                <w:rFonts w:ascii="Calibri" w:hAnsi="宋体" w:eastAsia="宋体" w:cs="Calibri"/>
                <w:kern w:val="0"/>
                <w:szCs w:val="24"/>
              </w:rPr>
              <w:t>择终止与中标人的合作关系，</w:t>
            </w:r>
            <w:r>
              <w:rPr>
                <w:rFonts w:hint="eastAsia" w:ascii="Calibri" w:hAnsi="宋体" w:eastAsia="宋体" w:cs="Calibri"/>
                <w:kern w:val="0"/>
                <w:szCs w:val="24"/>
              </w:rPr>
              <w:t>重</w:t>
            </w:r>
            <w:r>
              <w:rPr>
                <w:rFonts w:ascii="Calibri" w:hAnsi="宋体" w:eastAsia="宋体" w:cs="Calibri"/>
                <w:kern w:val="0"/>
                <w:szCs w:val="24"/>
              </w:rPr>
              <w:t>新</w:t>
            </w:r>
            <w:r>
              <w:rPr>
                <w:rFonts w:hint="eastAsia" w:ascii="Calibri" w:hAnsi="宋体" w:eastAsia="宋体" w:cs="Calibri"/>
                <w:kern w:val="0"/>
                <w:szCs w:val="24"/>
              </w:rPr>
              <w:t>启</w:t>
            </w:r>
            <w:r>
              <w:rPr>
                <w:rFonts w:ascii="Calibri" w:hAnsi="宋体" w:eastAsia="宋体" w:cs="Calibri"/>
                <w:kern w:val="0"/>
                <w:szCs w:val="24"/>
              </w:rPr>
              <w:t>动</w:t>
            </w:r>
            <w:r>
              <w:rPr>
                <w:rFonts w:hint="eastAsia" w:ascii="Calibri" w:hAnsi="宋体" w:eastAsia="宋体" w:cs="Calibri"/>
                <w:kern w:val="0"/>
                <w:szCs w:val="24"/>
              </w:rPr>
              <w:t>招</w:t>
            </w:r>
            <w:r>
              <w:rPr>
                <w:rFonts w:ascii="Calibri" w:hAnsi="宋体" w:eastAsia="宋体" w:cs="Calibri"/>
                <w:kern w:val="0"/>
                <w:szCs w:val="24"/>
              </w:rPr>
              <w:t>标工作</w:t>
            </w:r>
            <w:r>
              <w:rPr>
                <w:rFonts w:hint="eastAsia" w:ascii="Calibri" w:hAnsi="宋体" w:eastAsia="宋体" w:cs="Calibri"/>
                <w:kern w:val="0"/>
                <w:szCs w:val="24"/>
              </w:rPr>
              <w:t>，</w:t>
            </w:r>
            <w:r>
              <w:rPr>
                <w:rFonts w:ascii="Calibri" w:hAnsi="宋体" w:eastAsia="宋体" w:cs="Calibri"/>
                <w:kern w:val="0"/>
                <w:szCs w:val="24"/>
              </w:rPr>
              <w:t>更换供</w:t>
            </w:r>
            <w:r>
              <w:rPr>
                <w:rFonts w:hint="eastAsia" w:ascii="Calibri" w:hAnsi="宋体" w:eastAsia="宋体" w:cs="Calibri"/>
                <w:kern w:val="0"/>
                <w:szCs w:val="24"/>
              </w:rPr>
              <w:t>应</w:t>
            </w:r>
            <w:r>
              <w:rPr>
                <w:rFonts w:ascii="Calibri" w:hAnsi="宋体" w:eastAsia="宋体" w:cs="Calibri"/>
                <w:kern w:val="0"/>
                <w:szCs w:val="24"/>
              </w:rPr>
              <w:t>商。</w:t>
            </w:r>
          </w:p>
        </w:tc>
      </w:tr>
      <w:tr w14:paraId="45AD2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73D16607">
            <w:pPr>
              <w:snapToGrid w:val="0"/>
              <w:spacing w:line="360" w:lineRule="auto"/>
              <w:jc w:val="center"/>
              <w:rPr>
                <w:rFonts w:ascii="宋体" w:hAnsi="宋体" w:eastAsia="宋体"/>
                <w:color w:val="FF0000"/>
                <w:sz w:val="21"/>
                <w:szCs w:val="21"/>
              </w:rPr>
            </w:pPr>
            <w:r>
              <w:rPr>
                <w:rFonts w:hint="eastAsia" w:asciiTheme="minorEastAsia" w:hAnsiTheme="minorEastAsia" w:eastAsiaTheme="minorEastAsia"/>
              </w:rPr>
              <w:t>供货要求</w:t>
            </w:r>
          </w:p>
        </w:tc>
        <w:tc>
          <w:tcPr>
            <w:tcW w:w="7958" w:type="dxa"/>
            <w:tcBorders>
              <w:top w:val="single" w:color="auto" w:sz="4" w:space="0"/>
              <w:left w:val="single" w:color="auto" w:sz="4" w:space="0"/>
              <w:bottom w:val="single" w:color="auto" w:sz="4" w:space="0"/>
              <w:right w:val="single" w:color="auto" w:sz="4" w:space="0"/>
            </w:tcBorders>
            <w:vAlign w:val="center"/>
          </w:tcPr>
          <w:p w14:paraId="06D79AA4">
            <w:pPr>
              <w:snapToGrid w:val="0"/>
              <w:spacing w:line="360" w:lineRule="auto"/>
              <w:rPr>
                <w:rFonts w:asciiTheme="minorEastAsia" w:hAnsiTheme="minorEastAsia" w:eastAsiaTheme="minorEastAsia"/>
              </w:rPr>
            </w:pPr>
            <w:r>
              <w:rPr>
                <w:rFonts w:hint="eastAsia" w:asciiTheme="minorEastAsia" w:hAnsiTheme="minorEastAsia" w:eastAsiaTheme="minorEastAsia"/>
              </w:rPr>
              <w:t>1）供方须根据买方提供的技术要求，完成设备的具体设计方案，并按照本标书技术部分的要求提交相应的技术文件和资料</w:t>
            </w:r>
          </w:p>
          <w:p w14:paraId="7FD80B56">
            <w:pPr>
              <w:snapToGrid w:val="0"/>
              <w:spacing w:line="360" w:lineRule="auto"/>
              <w:rPr>
                <w:rFonts w:asciiTheme="minorEastAsia" w:hAnsiTheme="minorEastAsia" w:eastAsiaTheme="minorEastAsia"/>
              </w:rPr>
            </w:pPr>
            <w:r>
              <w:rPr>
                <w:rFonts w:hint="eastAsia" w:asciiTheme="minorEastAsia" w:hAnsiTheme="minorEastAsia" w:eastAsiaTheme="minorEastAsia"/>
              </w:rPr>
              <w:t>2）按买方的技术文件供货；</w:t>
            </w:r>
          </w:p>
          <w:p w14:paraId="1D325298">
            <w:pPr>
              <w:snapToGrid w:val="0"/>
              <w:spacing w:line="360" w:lineRule="auto"/>
              <w:rPr>
                <w:rFonts w:asciiTheme="minorEastAsia" w:hAnsiTheme="minorEastAsia" w:eastAsiaTheme="minorEastAsia"/>
              </w:rPr>
            </w:pPr>
            <w:r>
              <w:rPr>
                <w:rFonts w:hint="eastAsia" w:asciiTheme="minorEastAsia" w:hAnsiTheme="minorEastAsia" w:eastAsiaTheme="minorEastAsia"/>
              </w:rPr>
              <w:t>3）按承诺的交货时间将设备运至买方指定安装地点；</w:t>
            </w:r>
          </w:p>
          <w:p w14:paraId="466BB56F">
            <w:pPr>
              <w:snapToGrid w:val="0"/>
              <w:spacing w:line="360" w:lineRule="auto"/>
              <w:rPr>
                <w:rFonts w:asciiTheme="minorEastAsia" w:hAnsiTheme="minorEastAsia" w:eastAsiaTheme="minorEastAsia"/>
              </w:rPr>
            </w:pPr>
            <w:r>
              <w:rPr>
                <w:rFonts w:hint="eastAsia" w:asciiTheme="minorEastAsia" w:hAnsiTheme="minorEastAsia" w:eastAsiaTheme="minorEastAsia"/>
              </w:rPr>
              <w:t>4) 随货须提供送货清单、质量检测报告、合格证、说明书或操作说明、保养手册、强制认证证书（如有）、报关文件（如有）等资料；</w:t>
            </w:r>
          </w:p>
          <w:p w14:paraId="089C9C4E">
            <w:pPr>
              <w:spacing w:line="360" w:lineRule="auto"/>
              <w:ind w:firstLine="33" w:firstLineChars="14"/>
              <w:rPr>
                <w:rFonts w:ascii="宋体" w:hAnsi="宋体" w:eastAsia="宋体"/>
                <w:color w:val="FF0000"/>
                <w:sz w:val="21"/>
                <w:szCs w:val="21"/>
              </w:rPr>
            </w:pPr>
            <w:r>
              <w:rPr>
                <w:rFonts w:hint="eastAsia" w:asciiTheme="minorEastAsia" w:hAnsiTheme="minorEastAsia" w:eastAsiaTheme="minorEastAsia"/>
              </w:rPr>
              <w:t>5）所有到场货物须接受买方的检验，需送第三方机构进行检测的，供方须无条件配合并承担相关费用。</w:t>
            </w:r>
          </w:p>
        </w:tc>
      </w:tr>
      <w:tr w14:paraId="52B537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222" w:type="dxa"/>
            <w:tcBorders>
              <w:top w:val="single" w:color="auto" w:sz="4" w:space="0"/>
              <w:left w:val="single" w:color="auto" w:sz="4" w:space="0"/>
              <w:bottom w:val="single" w:color="auto" w:sz="4" w:space="0"/>
              <w:right w:val="single" w:color="auto" w:sz="4" w:space="0"/>
            </w:tcBorders>
            <w:vAlign w:val="center"/>
          </w:tcPr>
          <w:p w14:paraId="42E4FADD">
            <w:pPr>
              <w:snapToGrid w:val="0"/>
              <w:spacing w:line="360" w:lineRule="auto"/>
              <w:jc w:val="center"/>
              <w:rPr>
                <w:rFonts w:hint="eastAsia" w:asciiTheme="minorEastAsia" w:hAnsiTheme="minorEastAsia" w:eastAsiaTheme="minorEastAsia"/>
              </w:rPr>
            </w:pPr>
            <w:r>
              <w:rPr>
                <w:rFonts w:hint="eastAsia" w:asciiTheme="minorEastAsia" w:hAnsiTheme="minorEastAsia" w:eastAsiaTheme="minorEastAsia"/>
              </w:rPr>
              <w:t>验收标准结算条款</w:t>
            </w:r>
          </w:p>
        </w:tc>
        <w:tc>
          <w:tcPr>
            <w:tcW w:w="7958" w:type="dxa"/>
            <w:tcBorders>
              <w:top w:val="single" w:color="auto" w:sz="4" w:space="0"/>
              <w:left w:val="single" w:color="auto" w:sz="4" w:space="0"/>
              <w:bottom w:val="single" w:color="auto" w:sz="4" w:space="0"/>
              <w:right w:val="single" w:color="auto" w:sz="4" w:space="0"/>
            </w:tcBorders>
            <w:vAlign w:val="center"/>
          </w:tcPr>
          <w:p w14:paraId="28C00116">
            <w:pPr>
              <w:pStyle w:val="38"/>
              <w:spacing w:before="0" w:beforeAutospacing="0" w:after="0" w:afterAutospacing="0" w:line="360" w:lineRule="auto"/>
              <w:jc w:val="both"/>
              <w:rPr>
                <w:rFonts w:cs="Times New Roman"/>
                <w:kern w:val="2"/>
                <w:sz w:val="21"/>
                <w:szCs w:val="21"/>
              </w:rPr>
            </w:pPr>
            <w:r>
              <w:rPr>
                <w:rFonts w:hint="eastAsia" w:asciiTheme="minorEastAsia" w:hAnsiTheme="minorEastAsia" w:eastAsiaTheme="minorEastAsia"/>
              </w:rPr>
              <w:t>1、合格验收</w:t>
            </w:r>
            <w:r>
              <w:rPr>
                <w:rFonts w:hint="eastAsia" w:cs="Times New Roman" w:asciiTheme="minorEastAsia" w:hAnsiTheme="minorEastAsia" w:eastAsiaTheme="minorEastAsia"/>
              </w:rPr>
              <w:t>：尿素质量执行中华人民共和国国家标准：GB/T 2440—2017农业用（肥料）尿素优等品质量标准。若该中华人民共和国化工行业标准发生变化，按最新标准执行。同时尿素必须是全新的，要求为细颗粒的，不允许结块，防潮袋装。</w:t>
            </w:r>
          </w:p>
          <w:p w14:paraId="062E3863">
            <w:pPr>
              <w:spacing w:beforeLines="50" w:afterLines="50" w:line="360" w:lineRule="auto"/>
              <w:ind w:firstLine="33" w:firstLineChars="14"/>
              <w:rPr>
                <w:rFonts w:asciiTheme="minorEastAsia" w:hAnsiTheme="minorEastAsia" w:eastAsiaTheme="minorEastAsia"/>
              </w:rPr>
            </w:pPr>
            <w:r>
              <w:rPr>
                <w:rFonts w:hint="eastAsia" w:asciiTheme="minorEastAsia" w:hAnsiTheme="minorEastAsia" w:eastAsiaTheme="minorEastAsia"/>
              </w:rPr>
              <w:t>甲方作为合格物料予以验收结算。</w:t>
            </w:r>
          </w:p>
          <w:p w14:paraId="070FFD39">
            <w:pPr>
              <w:pStyle w:val="80"/>
              <w:spacing w:line="360" w:lineRule="auto"/>
              <w:ind w:left="0" w:leftChars="0" w:firstLine="0" w:firstLineChars="0"/>
              <w:rPr>
                <w:rFonts w:hint="eastAsia" w:asciiTheme="minorEastAsia" w:hAnsiTheme="minorEastAsia" w:eastAsiaTheme="minorEastAsia"/>
              </w:rPr>
            </w:pPr>
            <w:r>
              <w:rPr>
                <w:rFonts w:hint="eastAsia" w:ascii="宋体" w:hAnsi="宋体" w:eastAsia="宋体" w:cs="Times New Roman"/>
                <w:kern w:val="2"/>
                <w:sz w:val="24"/>
                <w:szCs w:val="20"/>
                <w:lang w:val="en-US" w:eastAsia="zh-CN" w:bidi="ar-SA"/>
              </w:rPr>
              <w:t>甲方有权拒绝收货，已接收货物不予以结算。如甲方拒绝收货，乙方必须在接到甲方通知时起五小时将等量合格货物送货到厂，逾期未到货的，甲方有权使用其产品投入生产，且改车次货物不予结算付款，乙方同时应当承担逾期交付的违约责任、供货质量不合格的违约责任并且赔偿由此给甲方造成的一切损失。</w:t>
            </w:r>
          </w:p>
        </w:tc>
      </w:tr>
    </w:tbl>
    <w:p w14:paraId="351511AD">
      <w:pPr>
        <w:rPr>
          <w:rFonts w:ascii="宋体" w:hAnsi="宋体" w:eastAsia="宋体"/>
        </w:rPr>
      </w:pPr>
    </w:p>
    <w:p w14:paraId="2BB89964">
      <w:pPr>
        <w:rPr>
          <w:rFonts w:ascii="宋体" w:hAnsi="宋体" w:eastAsia="宋体"/>
        </w:rPr>
      </w:pPr>
    </w:p>
    <w:bookmarkEnd w:id="4"/>
    <w:bookmarkEnd w:id="5"/>
    <w:bookmarkEnd w:id="6"/>
    <w:bookmarkEnd w:id="7"/>
    <w:bookmarkEnd w:id="8"/>
    <w:bookmarkEnd w:id="9"/>
    <w:bookmarkEnd w:id="10"/>
    <w:p w14:paraId="1093E2FF">
      <w:pPr>
        <w:autoSpaceDE w:val="0"/>
        <w:autoSpaceDN w:val="0"/>
        <w:adjustRightInd w:val="0"/>
        <w:spacing w:line="360" w:lineRule="auto"/>
        <w:ind w:left="567"/>
        <w:jc w:val="left"/>
        <w:rPr>
          <w:rFonts w:ascii="宋体" w:hAnsi="宋体" w:eastAsia="宋体"/>
          <w:sz w:val="28"/>
          <w:szCs w:val="28"/>
        </w:rPr>
      </w:pPr>
    </w:p>
    <w:p w14:paraId="55690B0C">
      <w:pPr>
        <w:widowControl/>
        <w:adjustRightInd w:val="0"/>
        <w:snapToGrid w:val="0"/>
        <w:rPr>
          <w:rFonts w:ascii="宋体" w:hAnsi="宋体" w:eastAsia="宋体"/>
          <w:sz w:val="28"/>
          <w:szCs w:val="28"/>
        </w:rPr>
      </w:pPr>
    </w:p>
    <w:p w14:paraId="3C6F4A27">
      <w:pPr>
        <w:widowControl/>
        <w:adjustRightInd w:val="0"/>
        <w:snapToGrid w:val="0"/>
        <w:rPr>
          <w:rFonts w:ascii="宋体" w:hAnsi="宋体" w:eastAsia="宋体"/>
          <w:sz w:val="28"/>
          <w:szCs w:val="28"/>
        </w:rPr>
      </w:pPr>
    </w:p>
    <w:p w14:paraId="451723AC">
      <w:pPr>
        <w:autoSpaceDE w:val="0"/>
        <w:autoSpaceDN w:val="0"/>
        <w:adjustRightInd w:val="0"/>
        <w:spacing w:line="360" w:lineRule="auto"/>
        <w:ind w:left="567"/>
        <w:jc w:val="left"/>
        <w:rPr>
          <w:rFonts w:ascii="宋体" w:hAnsi="宋体" w:eastAsia="宋体"/>
          <w:sz w:val="28"/>
          <w:szCs w:val="28"/>
        </w:rPr>
      </w:pPr>
    </w:p>
    <w:p w14:paraId="57E69114">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186D7CC9">
      <w:pPr>
        <w:pStyle w:val="2"/>
        <w:spacing w:before="120" w:beforeLines="50" w:after="120" w:afterLines="50"/>
        <w:rPr>
          <w:rFonts w:ascii="宋体" w:hAnsi="宋体" w:eastAsia="宋体"/>
          <w:lang w:val="zh-CN"/>
        </w:rPr>
      </w:pPr>
      <w:bookmarkStart w:id="13" w:name="_Toc91073208"/>
      <w:r>
        <w:rPr>
          <w:rFonts w:hint="eastAsia" w:ascii="宋体" w:hAnsi="宋体" w:eastAsia="宋体"/>
          <w:b w:val="0"/>
          <w:color w:val="000000"/>
          <w:sz w:val="32"/>
          <w:szCs w:val="32"/>
        </w:rPr>
        <w:t>三 投标文件格式</w:t>
      </w:r>
      <w:bookmarkEnd w:id="13"/>
    </w:p>
    <w:p w14:paraId="750CD24A">
      <w:pPr>
        <w:rPr>
          <w:rFonts w:ascii="宋体" w:hAnsi="宋体" w:eastAsia="宋体"/>
          <w:lang w:val="zh-CN"/>
        </w:rPr>
      </w:pPr>
    </w:p>
    <w:p w14:paraId="5F98ED92">
      <w:pPr>
        <w:jc w:val="center"/>
        <w:rPr>
          <w:rFonts w:hint="eastAsia" w:ascii="宋体" w:hAnsi="宋体" w:eastAsia="宋体"/>
          <w:sz w:val="44"/>
          <w:szCs w:val="44"/>
          <w:lang w:eastAsia="zh-CN"/>
        </w:rPr>
      </w:pPr>
      <w:r>
        <w:rPr>
          <w:rFonts w:hint="eastAsia" w:ascii="宋体" w:hAnsi="宋体" w:eastAsia="宋体"/>
          <w:sz w:val="44"/>
          <w:szCs w:val="44"/>
          <w:lang w:eastAsia="zh-CN"/>
        </w:rPr>
        <w:t>高州垃圾发电项目</w:t>
      </w:r>
    </w:p>
    <w:p w14:paraId="23CE1F16">
      <w:pPr>
        <w:jc w:val="center"/>
        <w:rPr>
          <w:rFonts w:ascii="宋体" w:hAnsi="宋体" w:eastAsia="宋体"/>
          <w:sz w:val="44"/>
          <w:szCs w:val="44"/>
        </w:rPr>
      </w:pPr>
    </w:p>
    <w:p w14:paraId="226A5F23">
      <w:pPr>
        <w:jc w:val="center"/>
        <w:rPr>
          <w:rFonts w:ascii="宋体" w:hAnsi="宋体" w:eastAsia="宋体"/>
          <w:sz w:val="44"/>
          <w:szCs w:val="44"/>
        </w:rPr>
      </w:pPr>
    </w:p>
    <w:p w14:paraId="23D17D3B">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尿素</w:t>
      </w:r>
    </w:p>
    <w:p w14:paraId="1F35F5C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2BE742DD">
      <w:pPr>
        <w:spacing w:line="360" w:lineRule="auto"/>
        <w:jc w:val="center"/>
        <w:rPr>
          <w:rFonts w:ascii="宋体" w:hAnsi="宋体" w:eastAsia="宋体"/>
          <w:bCs/>
          <w:sz w:val="84"/>
          <w:szCs w:val="84"/>
        </w:rPr>
      </w:pPr>
    </w:p>
    <w:p w14:paraId="65A5BA4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375624B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LK-MMLK-ZB-JC2026-003 </w:t>
      </w:r>
      <w:r>
        <w:rPr>
          <w:rFonts w:hint="eastAsia" w:ascii="宋体" w:hAnsi="宋体" w:eastAsia="宋体"/>
          <w:sz w:val="30"/>
          <w:szCs w:val="30"/>
        </w:rPr>
        <w:t>）</w:t>
      </w:r>
    </w:p>
    <w:p w14:paraId="1522D736">
      <w:pPr>
        <w:jc w:val="center"/>
        <w:rPr>
          <w:rFonts w:ascii="宋体" w:hAnsi="宋体" w:eastAsia="宋体"/>
          <w:sz w:val="28"/>
          <w:szCs w:val="28"/>
        </w:rPr>
      </w:pPr>
    </w:p>
    <w:p w14:paraId="7525693D">
      <w:pPr>
        <w:jc w:val="center"/>
        <w:rPr>
          <w:rFonts w:ascii="宋体" w:hAnsi="宋体" w:eastAsia="宋体"/>
          <w:sz w:val="28"/>
          <w:szCs w:val="28"/>
        </w:rPr>
      </w:pPr>
    </w:p>
    <w:p w14:paraId="0908DFC0">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4D8BC5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0C75A1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568CE291">
      <w:pPr>
        <w:spacing w:line="360" w:lineRule="auto"/>
        <w:jc w:val="center"/>
        <w:rPr>
          <w:rFonts w:ascii="宋体" w:hAnsi="宋体" w:eastAsia="宋体" w:cs="Arial"/>
          <w:bCs/>
          <w:sz w:val="28"/>
          <w:szCs w:val="28"/>
          <w:lang w:val="zh-CN"/>
        </w:rPr>
      </w:pPr>
    </w:p>
    <w:p w14:paraId="26489858">
      <w:pPr>
        <w:spacing w:line="360" w:lineRule="auto"/>
        <w:jc w:val="center"/>
        <w:rPr>
          <w:rFonts w:ascii="宋体" w:hAnsi="宋体" w:eastAsia="宋体" w:cs="Arial"/>
          <w:bCs/>
          <w:sz w:val="28"/>
          <w:szCs w:val="28"/>
          <w:lang w:val="zh-CN"/>
        </w:rPr>
      </w:pPr>
    </w:p>
    <w:p w14:paraId="492B767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bookmarkStart w:id="14" w:name="_Toc456800168"/>
      <w:bookmarkStart w:id="15" w:name="_Toc456799689"/>
      <w:bookmarkStart w:id="16" w:name="_Toc456800138"/>
      <w:bookmarkStart w:id="17" w:name="_Toc456799797"/>
      <w:bookmarkStart w:id="18" w:name="_Toc456800087"/>
      <w:bookmarkStart w:id="19" w:name="_Toc456799949"/>
      <w:bookmarkStart w:id="20" w:name="_Toc456800244"/>
    </w:p>
    <w:p w14:paraId="09FF336D">
      <w:pPr>
        <w:spacing w:line="360" w:lineRule="auto"/>
        <w:jc w:val="center"/>
        <w:rPr>
          <w:rFonts w:ascii="宋体" w:hAnsi="宋体" w:eastAsia="宋体" w:cs="Arial"/>
          <w:bCs/>
          <w:sz w:val="28"/>
          <w:szCs w:val="28"/>
          <w:lang w:val="zh-CN"/>
        </w:rPr>
      </w:pPr>
    </w:p>
    <w:p w14:paraId="75D29EF8">
      <w:pPr>
        <w:spacing w:line="360" w:lineRule="auto"/>
        <w:jc w:val="center"/>
        <w:rPr>
          <w:rFonts w:hint="eastAsia" w:ascii="宋体" w:hAnsi="宋体" w:eastAsia="宋体" w:cs="Arial"/>
          <w:bCs/>
          <w:sz w:val="28"/>
          <w:szCs w:val="28"/>
          <w:lang w:val="zh-CN"/>
        </w:rPr>
      </w:pPr>
    </w:p>
    <w:p w14:paraId="237A4030">
      <w:pPr>
        <w:spacing w:line="360" w:lineRule="auto"/>
        <w:jc w:val="center"/>
        <w:rPr>
          <w:rFonts w:hint="eastAsia" w:ascii="宋体" w:hAnsi="宋体" w:eastAsia="宋体" w:cs="Arial"/>
          <w:bCs/>
          <w:sz w:val="28"/>
          <w:szCs w:val="28"/>
          <w:lang w:val="zh-CN"/>
        </w:rPr>
      </w:pPr>
    </w:p>
    <w:p w14:paraId="4C3F330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14"/>
      <w:bookmarkEnd w:id="15"/>
      <w:bookmarkEnd w:id="16"/>
      <w:bookmarkEnd w:id="17"/>
      <w:bookmarkEnd w:id="18"/>
      <w:bookmarkEnd w:id="19"/>
      <w:bookmarkEnd w:id="20"/>
      <w:bookmarkStart w:id="21" w:name="_Toc176085638"/>
      <w:bookmarkStart w:id="22" w:name="_Toc174521069"/>
    </w:p>
    <w:p w14:paraId="61C01CC6">
      <w:pPr>
        <w:tabs>
          <w:tab w:val="left" w:pos="3906"/>
        </w:tabs>
        <w:spacing w:before="120" w:beforeLines="50" w:after="120" w:afterLines="50"/>
        <w:outlineLvl w:val="1"/>
        <w:rPr>
          <w:rFonts w:ascii="宋体" w:hAnsi="宋体" w:eastAsia="宋体"/>
          <w:szCs w:val="24"/>
        </w:rPr>
      </w:pPr>
      <w:bookmarkStart w:id="23" w:name="_Toc456800169"/>
      <w:bookmarkStart w:id="24" w:name="_Toc456799798"/>
      <w:bookmarkStart w:id="25" w:name="_Toc91073209"/>
      <w:bookmarkStart w:id="26" w:name="_Toc456800088"/>
      <w:bookmarkStart w:id="27" w:name="_Toc456800245"/>
      <w:bookmarkStart w:id="28" w:name="_Toc456799950"/>
      <w:bookmarkStart w:id="29" w:name="_Toc456800139"/>
      <w:bookmarkStart w:id="30" w:name="_Toc456799690"/>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21"/>
      <w:bookmarkEnd w:id="22"/>
      <w:bookmarkEnd w:id="23"/>
      <w:bookmarkEnd w:id="24"/>
      <w:bookmarkEnd w:id="25"/>
      <w:bookmarkEnd w:id="26"/>
      <w:bookmarkEnd w:id="27"/>
      <w:bookmarkEnd w:id="28"/>
      <w:bookmarkEnd w:id="29"/>
      <w:bookmarkEnd w:id="30"/>
    </w:p>
    <w:p w14:paraId="6523AF47">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CBF8B74">
      <w:pPr>
        <w:tabs>
          <w:tab w:val="left" w:pos="3906"/>
        </w:tabs>
        <w:spacing w:before="120" w:beforeLines="50" w:after="120" w:afterLines="50"/>
        <w:jc w:val="left"/>
        <w:outlineLvl w:val="1"/>
        <w:rPr>
          <w:rFonts w:ascii="宋体" w:hAnsi="宋体" w:eastAsia="宋体"/>
          <w:szCs w:val="24"/>
        </w:rPr>
      </w:pPr>
      <w:bookmarkStart w:id="31" w:name="_Toc174521070"/>
      <w:bookmarkStart w:id="32" w:name="_Toc176085639"/>
      <w:bookmarkStart w:id="33" w:name="_Toc91073210"/>
      <w:bookmarkStart w:id="34" w:name="_Toc456800089"/>
      <w:bookmarkStart w:id="35" w:name="_Toc456799691"/>
      <w:bookmarkStart w:id="36" w:name="_Toc456800140"/>
      <w:bookmarkStart w:id="37" w:name="_Toc456800170"/>
      <w:bookmarkStart w:id="38" w:name="_Toc456799951"/>
      <w:bookmarkStart w:id="39" w:name="_Toc456800246"/>
      <w:bookmarkStart w:id="40" w:name="_Toc456799799"/>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31"/>
      <w:bookmarkEnd w:id="32"/>
      <w:r>
        <w:rPr>
          <w:rFonts w:hint="eastAsia" w:ascii="宋体" w:hAnsi="宋体" w:eastAsia="宋体"/>
          <w:szCs w:val="24"/>
        </w:rPr>
        <w:t>报价格式</w:t>
      </w:r>
      <w:bookmarkEnd w:id="33"/>
      <w:bookmarkEnd w:id="34"/>
      <w:bookmarkEnd w:id="35"/>
      <w:bookmarkEnd w:id="36"/>
      <w:bookmarkEnd w:id="37"/>
      <w:bookmarkEnd w:id="38"/>
      <w:bookmarkEnd w:id="39"/>
      <w:bookmarkEnd w:id="40"/>
    </w:p>
    <w:p w14:paraId="36BCBBC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93F9070">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1C807A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9F989A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569D297E">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562011E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2A151591">
      <w:pPr>
        <w:tabs>
          <w:tab w:val="left" w:pos="3906"/>
        </w:tabs>
        <w:spacing w:before="120" w:beforeLines="50" w:after="120" w:afterLines="50" w:line="360" w:lineRule="auto"/>
        <w:rPr>
          <w:rFonts w:ascii="宋体" w:hAnsi="宋体" w:eastAsia="宋体" w:cs="Arial"/>
          <w:bCs/>
          <w:color w:val="000000"/>
          <w:szCs w:val="24"/>
        </w:rPr>
      </w:pPr>
      <w:bookmarkStart w:id="41" w:name="_Toc176085641"/>
      <w:bookmarkStart w:id="42" w:name="_Toc174521072"/>
      <w:r>
        <w:rPr>
          <w:rFonts w:ascii="宋体" w:hAnsi="宋体" w:eastAsia="宋体"/>
          <w:color w:val="000000"/>
          <w:szCs w:val="24"/>
        </w:rPr>
        <w:t>2.2</w:t>
      </w:r>
      <w:r>
        <w:rPr>
          <w:rFonts w:hint="eastAsia" w:ascii="宋体" w:hAnsi="宋体" w:eastAsia="宋体"/>
          <w:color w:val="000000"/>
          <w:szCs w:val="24"/>
        </w:rPr>
        <w:t>资格预审资料更新</w:t>
      </w:r>
      <w:bookmarkEnd w:id="41"/>
      <w:bookmarkEnd w:id="42"/>
    </w:p>
    <w:p w14:paraId="7C82F757">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36B4211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3B425A00">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43" w:name="_Toc174521074"/>
      <w:bookmarkStart w:id="44" w:name="_Toc176085643"/>
    </w:p>
    <w:p w14:paraId="0F08064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43"/>
      <w:bookmarkEnd w:id="44"/>
    </w:p>
    <w:p w14:paraId="54521DFA">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45" w:name="_Toc174521075"/>
      <w:bookmarkStart w:id="46" w:name="_Toc176085644"/>
    </w:p>
    <w:p w14:paraId="1AD2AFB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45"/>
      <w:bookmarkEnd w:id="46"/>
      <w:r>
        <w:rPr>
          <w:rFonts w:hint="eastAsia" w:ascii="宋体" w:hAnsi="宋体" w:eastAsia="宋体"/>
          <w:color w:val="000000"/>
          <w:szCs w:val="24"/>
        </w:rPr>
        <w:t>详后。</w:t>
      </w:r>
      <w:r>
        <w:rPr>
          <w:rFonts w:ascii="宋体" w:hAnsi="宋体" w:eastAsia="宋体"/>
          <w:szCs w:val="24"/>
        </w:rPr>
        <w:t xml:space="preserve"> </w:t>
      </w:r>
    </w:p>
    <w:p w14:paraId="37A51278">
      <w:pPr>
        <w:spacing w:line="580" w:lineRule="exact"/>
        <w:rPr>
          <w:rFonts w:ascii="宋体" w:hAnsi="宋体" w:eastAsia="宋体"/>
          <w:bCs/>
          <w:szCs w:val="24"/>
        </w:rPr>
      </w:pPr>
    </w:p>
    <w:p w14:paraId="5747F856">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47" w:name="_Toc176085645"/>
      <w:bookmarkStart w:id="48" w:name="_Toc174521076"/>
      <w:bookmarkStart w:id="49" w:name="_Toc456799955"/>
      <w:bookmarkStart w:id="50" w:name="_Toc456799803"/>
      <w:bookmarkStart w:id="51" w:name="_Toc456799695"/>
    </w:p>
    <w:p w14:paraId="264CB94D">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47"/>
      <w:bookmarkEnd w:id="48"/>
    </w:p>
    <w:p w14:paraId="5F877C7C">
      <w:pPr>
        <w:suppressAutoHyphens/>
        <w:spacing w:line="360" w:lineRule="auto"/>
        <w:jc w:val="center"/>
        <w:rPr>
          <w:rFonts w:ascii="宋体" w:hAnsi="宋体" w:eastAsia="宋体"/>
          <w:color w:val="000000"/>
          <w:szCs w:val="24"/>
        </w:rPr>
      </w:pPr>
      <w:bookmarkStart w:id="52" w:name="_Toc456800141"/>
      <w:bookmarkStart w:id="53" w:name="_Toc456800171"/>
      <w:bookmarkStart w:id="54" w:name="_Toc456799692"/>
      <w:bookmarkStart w:id="55" w:name="_Toc456800090"/>
      <w:bookmarkStart w:id="56" w:name="_Toc456799800"/>
      <w:bookmarkStart w:id="57" w:name="_Toc456799952"/>
      <w:r>
        <w:rPr>
          <w:rFonts w:hint="eastAsia" w:ascii="宋体" w:hAnsi="宋体" w:eastAsia="宋体"/>
          <w:color w:val="000000"/>
          <w:szCs w:val="24"/>
        </w:rPr>
        <w:t>投标函</w:t>
      </w:r>
      <w:bookmarkEnd w:id="52"/>
      <w:bookmarkEnd w:id="53"/>
      <w:bookmarkEnd w:id="54"/>
      <w:bookmarkEnd w:id="55"/>
      <w:bookmarkEnd w:id="56"/>
      <w:bookmarkEnd w:id="57"/>
    </w:p>
    <w:p w14:paraId="350753DF">
      <w:pPr>
        <w:spacing w:line="360" w:lineRule="auto"/>
        <w:jc w:val="left"/>
        <w:rPr>
          <w:rFonts w:ascii="宋体" w:hAnsi="宋体" w:eastAsia="宋体" w:cs="Arial"/>
          <w:color w:val="000000"/>
          <w:szCs w:val="24"/>
        </w:rPr>
      </w:pPr>
    </w:p>
    <w:p w14:paraId="3C7BCC6B">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0A2F8DFB">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rPr>
        <w:t>深圳市龙岗区坪地高桥朗坤科技园</w:t>
      </w:r>
    </w:p>
    <w:p w14:paraId="691644AF">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20BEA1E">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64AF0A28">
      <w:pPr>
        <w:spacing w:line="360" w:lineRule="auto"/>
        <w:ind w:firstLine="525"/>
        <w:jc w:val="left"/>
        <w:rPr>
          <w:rFonts w:ascii="宋体" w:hAnsi="宋体" w:eastAsia="宋体"/>
          <w:color w:val="000000"/>
          <w:szCs w:val="24"/>
        </w:rPr>
      </w:pPr>
    </w:p>
    <w:p w14:paraId="0BE96BEB">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2025</w:t>
      </w:r>
      <w:r>
        <w:rPr>
          <w:rFonts w:hint="eastAsia" w:ascii="宋体" w:hAnsi="宋体" w:eastAsia="宋体"/>
          <w:color w:val="000000"/>
          <w:szCs w:val="24"/>
        </w:rPr>
        <w:t>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6EC281C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1F6739D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3B21B3C7">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7D872B68">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4E706C09">
      <w:pPr>
        <w:spacing w:line="360" w:lineRule="auto"/>
        <w:ind w:firstLine="525"/>
        <w:jc w:val="left"/>
        <w:rPr>
          <w:rFonts w:ascii="宋体" w:hAnsi="宋体" w:eastAsia="宋体"/>
          <w:color w:val="000000"/>
          <w:szCs w:val="24"/>
        </w:rPr>
      </w:pPr>
    </w:p>
    <w:p w14:paraId="05856580">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0A3AD4AD">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3AC57132">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5ADA1333">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22A41471">
      <w:pPr>
        <w:pStyle w:val="41"/>
        <w:spacing w:line="360" w:lineRule="auto"/>
        <w:jc w:val="left"/>
        <w:outlineLvl w:val="9"/>
        <w:rPr>
          <w:rFonts w:ascii="宋体" w:hAnsi="宋体"/>
          <w:b w:val="0"/>
          <w:color w:val="000000"/>
          <w:sz w:val="24"/>
          <w:szCs w:val="24"/>
        </w:rPr>
      </w:pPr>
    </w:p>
    <w:p w14:paraId="1799752D">
      <w:pPr>
        <w:rPr>
          <w:rFonts w:ascii="宋体" w:hAnsi="宋体" w:eastAsia="宋体"/>
          <w:szCs w:val="24"/>
        </w:rPr>
      </w:pPr>
    </w:p>
    <w:p w14:paraId="5DFFD363">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58" w:name="_Toc456799801"/>
      <w:bookmarkStart w:id="59" w:name="_Toc456799953"/>
      <w:bookmarkStart w:id="60" w:name="_Toc456799693"/>
      <w:bookmarkStart w:id="61" w:name="_Toc456800091"/>
    </w:p>
    <w:p w14:paraId="090C0F71">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58"/>
      <w:bookmarkEnd w:id="59"/>
      <w:bookmarkEnd w:id="60"/>
      <w:bookmarkEnd w:id="61"/>
    </w:p>
    <w:p w14:paraId="5E10E18C">
      <w:pPr>
        <w:spacing w:line="360" w:lineRule="auto"/>
        <w:ind w:firstLine="525"/>
        <w:jc w:val="center"/>
        <w:rPr>
          <w:rFonts w:ascii="宋体" w:hAnsi="宋体" w:eastAsia="宋体"/>
          <w:color w:val="000000"/>
          <w:szCs w:val="24"/>
        </w:rPr>
      </w:pPr>
      <w:bookmarkStart w:id="62" w:name="_Toc456799802"/>
      <w:bookmarkStart w:id="63" w:name="_Toc456799954"/>
      <w:bookmarkStart w:id="64" w:name="_Toc456799694"/>
      <w:bookmarkStart w:id="65" w:name="_Toc456800172"/>
      <w:bookmarkStart w:id="66" w:name="_Toc456800092"/>
      <w:bookmarkStart w:id="67" w:name="_Toc456800142"/>
      <w:bookmarkStart w:id="68" w:name="_Toc456800247"/>
      <w:r>
        <w:rPr>
          <w:rFonts w:hint="eastAsia" w:ascii="宋体" w:hAnsi="宋体" w:eastAsia="宋体"/>
          <w:color w:val="000000"/>
          <w:szCs w:val="24"/>
        </w:rPr>
        <w:t>法定代表人授权书</w:t>
      </w:r>
      <w:bookmarkEnd w:id="62"/>
      <w:bookmarkEnd w:id="63"/>
      <w:bookmarkEnd w:id="64"/>
      <w:bookmarkEnd w:id="65"/>
      <w:bookmarkEnd w:id="66"/>
      <w:bookmarkEnd w:id="67"/>
      <w:bookmarkEnd w:id="68"/>
    </w:p>
    <w:p w14:paraId="0CAACA75">
      <w:pPr>
        <w:spacing w:line="360" w:lineRule="auto"/>
        <w:rPr>
          <w:rFonts w:ascii="宋体" w:hAnsi="宋体" w:eastAsia="宋体"/>
          <w:szCs w:val="24"/>
        </w:rPr>
      </w:pPr>
    </w:p>
    <w:p w14:paraId="7ED5D0E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7DD13C47">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eastAsia="zh-CN"/>
        </w:rPr>
        <w:t>高州垃圾发电项目</w:t>
      </w:r>
      <w:r>
        <w:rPr>
          <w:rFonts w:hint="eastAsia" w:ascii="宋体" w:hAnsi="宋体" w:eastAsia="宋体"/>
          <w:szCs w:val="24"/>
        </w:rPr>
        <w:t>的</w:t>
      </w:r>
      <w:r>
        <w:rPr>
          <w:rFonts w:hint="eastAsia" w:ascii="宋体" w:hAnsi="宋体" w:eastAsia="宋体"/>
          <w:szCs w:val="24"/>
          <w:u w:val="single"/>
          <w:lang w:eastAsia="zh-CN"/>
        </w:rPr>
        <w:t>尿素</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8B7A753">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200EAF76">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BD0EB69">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694E2BE1">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BE09B33">
                  <w:pPr>
                    <w:jc w:val="center"/>
                  </w:pPr>
                </w:p>
                <w:p w14:paraId="4879F37F">
                  <w:pPr>
                    <w:jc w:val="center"/>
                  </w:pPr>
                </w:p>
                <w:p w14:paraId="48180E1F">
                  <w:pPr>
                    <w:jc w:val="center"/>
                  </w:pPr>
                  <w:r>
                    <w:rPr>
                      <w:rFonts w:hint="eastAsia"/>
                    </w:rPr>
                    <w:t>居民身份证粘贴处 正</w:t>
                  </w:r>
                  <w:r>
                    <w:t>反面</w:t>
                  </w:r>
                </w:p>
              </w:txbxContent>
            </v:textbox>
          </v:shape>
        </w:pict>
      </w:r>
    </w:p>
    <w:p w14:paraId="2F8CCD82">
      <w:pPr>
        <w:snapToGrid w:val="0"/>
        <w:spacing w:line="580" w:lineRule="exact"/>
        <w:ind w:firstLine="600"/>
        <w:jc w:val="left"/>
        <w:rPr>
          <w:rFonts w:ascii="宋体" w:hAnsi="宋体" w:eastAsia="宋体"/>
          <w:szCs w:val="24"/>
        </w:rPr>
      </w:pPr>
    </w:p>
    <w:p w14:paraId="22C7F1C2">
      <w:pPr>
        <w:snapToGrid w:val="0"/>
        <w:spacing w:line="580" w:lineRule="exact"/>
        <w:ind w:firstLine="600"/>
        <w:jc w:val="left"/>
        <w:rPr>
          <w:rFonts w:ascii="宋体" w:hAnsi="宋体" w:eastAsia="宋体"/>
          <w:szCs w:val="24"/>
        </w:rPr>
      </w:pPr>
    </w:p>
    <w:p w14:paraId="4EBD2E5C">
      <w:pPr>
        <w:spacing w:line="580" w:lineRule="exact"/>
        <w:rPr>
          <w:rFonts w:ascii="宋体" w:hAnsi="宋体" w:eastAsia="宋体"/>
          <w:szCs w:val="24"/>
        </w:rPr>
      </w:pPr>
      <w:r>
        <w:rPr>
          <w:rFonts w:hint="eastAsia" w:ascii="宋体" w:hAnsi="宋体" w:eastAsia="宋体"/>
          <w:szCs w:val="24"/>
        </w:rPr>
        <w:t xml:space="preserve">   </w:t>
      </w:r>
    </w:p>
    <w:p w14:paraId="5BA5AE2D">
      <w:pPr>
        <w:spacing w:line="580" w:lineRule="exact"/>
        <w:rPr>
          <w:rFonts w:ascii="宋体" w:hAnsi="宋体" w:eastAsia="宋体"/>
          <w:szCs w:val="24"/>
        </w:rPr>
      </w:pPr>
    </w:p>
    <w:p w14:paraId="3BB04D6E">
      <w:pPr>
        <w:spacing w:line="580" w:lineRule="exact"/>
        <w:rPr>
          <w:rFonts w:ascii="宋体" w:hAnsi="宋体" w:eastAsia="宋体"/>
          <w:szCs w:val="24"/>
        </w:rPr>
      </w:pPr>
    </w:p>
    <w:p w14:paraId="7D35A36E">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04DD63A3">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5B0592A9">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C48AD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043F14AC">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6CEC1A9D">
      <w:pPr>
        <w:wordWrap w:val="0"/>
        <w:spacing w:line="360" w:lineRule="auto"/>
        <w:ind w:right="480" w:firstLine="3960" w:firstLineChars="1650"/>
        <w:jc w:val="left"/>
        <w:rPr>
          <w:rFonts w:ascii="宋体" w:hAnsi="宋体" w:eastAsia="宋体"/>
          <w:color w:val="000000"/>
          <w:szCs w:val="24"/>
        </w:rPr>
      </w:pPr>
    </w:p>
    <w:p w14:paraId="391BCFBA">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1A5F31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4D164ED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6456FC89">
      <w:pPr>
        <w:spacing w:line="400" w:lineRule="exact"/>
        <w:jc w:val="center"/>
        <w:rPr>
          <w:rFonts w:ascii="宋体" w:hAnsi="宋体" w:eastAsia="宋体"/>
          <w:szCs w:val="24"/>
        </w:rPr>
      </w:pPr>
    </w:p>
    <w:p w14:paraId="633DA91A">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朗坤环保能源（茂名）有限公司  </w:t>
      </w:r>
      <w:r>
        <w:rPr>
          <w:rFonts w:hint="eastAsia" w:ascii="宋体" w:hAnsi="宋体" w:eastAsia="宋体"/>
          <w:color w:val="000000"/>
          <w:szCs w:val="24"/>
        </w:rPr>
        <w:t xml:space="preserve">   </w:t>
      </w:r>
    </w:p>
    <w:p w14:paraId="6B2D5F70">
      <w:pPr>
        <w:spacing w:line="360" w:lineRule="auto"/>
        <w:rPr>
          <w:rFonts w:ascii="宋体" w:hAnsi="宋体" w:eastAsia="宋体"/>
          <w:szCs w:val="24"/>
        </w:rPr>
      </w:pPr>
    </w:p>
    <w:p w14:paraId="6183D3E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eastAsia="zh-CN"/>
        </w:rPr>
        <w:t>高州垃圾发电项目</w:t>
      </w:r>
      <w:r>
        <w:rPr>
          <w:rFonts w:hint="eastAsia" w:ascii="宋体" w:hAnsi="宋体" w:eastAsia="宋体"/>
          <w:szCs w:val="24"/>
        </w:rPr>
        <w:t>的</w:t>
      </w:r>
      <w:r>
        <w:rPr>
          <w:rFonts w:hint="eastAsia" w:ascii="宋体" w:hAnsi="宋体" w:eastAsia="宋体"/>
          <w:szCs w:val="24"/>
          <w:u w:val="single"/>
          <w:lang w:eastAsia="zh-CN"/>
        </w:rPr>
        <w:t>尿素</w:t>
      </w:r>
      <w:r>
        <w:rPr>
          <w:rFonts w:ascii="宋体" w:hAnsi="宋体" w:eastAsia="宋体"/>
          <w:szCs w:val="24"/>
        </w:rPr>
        <w:t>采购投标邀请，参与投标，</w:t>
      </w:r>
      <w:r>
        <w:rPr>
          <w:rFonts w:hint="eastAsia" w:ascii="宋体" w:hAnsi="宋体" w:eastAsia="宋体"/>
          <w:szCs w:val="24"/>
        </w:rPr>
        <w:t>我方承诺并保证：</w:t>
      </w:r>
    </w:p>
    <w:p w14:paraId="0ECAE5B0">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14604E3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6C95C3F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2837D38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2D97AE9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13A7B674">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5E61DCC2">
      <w:pPr>
        <w:spacing w:before="240" w:beforeLines="100" w:after="240" w:afterLines="100" w:line="360" w:lineRule="auto"/>
        <w:rPr>
          <w:rFonts w:ascii="宋体" w:hAnsi="宋体" w:eastAsia="宋体"/>
          <w:szCs w:val="24"/>
        </w:rPr>
      </w:pPr>
    </w:p>
    <w:p w14:paraId="506A7C4C">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2EBF0C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28799F6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1281055">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3DC64330">
      <w:pPr>
        <w:wordWrap w:val="0"/>
        <w:spacing w:line="360" w:lineRule="auto"/>
        <w:ind w:right="480" w:firstLine="3960" w:firstLineChars="1650"/>
        <w:jc w:val="left"/>
        <w:rPr>
          <w:rFonts w:ascii="宋体" w:hAnsi="宋体" w:eastAsia="宋体"/>
          <w:color w:val="000000"/>
          <w:szCs w:val="24"/>
        </w:rPr>
      </w:pPr>
    </w:p>
    <w:p w14:paraId="00826C36">
      <w:pPr>
        <w:spacing w:line="580" w:lineRule="exact"/>
        <w:rPr>
          <w:rFonts w:ascii="宋体" w:hAnsi="宋体" w:eastAsia="宋体"/>
          <w:szCs w:val="24"/>
        </w:rPr>
      </w:pPr>
    </w:p>
    <w:p w14:paraId="2AE23737">
      <w:pPr>
        <w:spacing w:line="580" w:lineRule="exact"/>
        <w:rPr>
          <w:rFonts w:ascii="宋体" w:hAnsi="宋体" w:eastAsia="宋体"/>
          <w:szCs w:val="24"/>
        </w:rPr>
      </w:pPr>
    </w:p>
    <w:p w14:paraId="137C2002">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BA23CF2">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49"/>
      <w:bookmarkEnd w:id="50"/>
      <w:bookmarkEnd w:id="51"/>
    </w:p>
    <w:p w14:paraId="18C26A21">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4070B89C">
      <w:pPr>
        <w:spacing w:line="360" w:lineRule="auto"/>
        <w:ind w:firstLine="4400"/>
        <w:rPr>
          <w:rFonts w:ascii="宋体" w:hAnsi="宋体" w:eastAsia="宋体"/>
          <w:color w:val="000000"/>
          <w:szCs w:val="24"/>
        </w:rPr>
      </w:pPr>
    </w:p>
    <w:p w14:paraId="174B4B69">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F5D413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172F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627C4059">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EB445D8">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2823" w:type="dxa"/>
            <w:vAlign w:val="center"/>
          </w:tcPr>
          <w:p w14:paraId="36472340">
            <w:pPr>
              <w:jc w:val="center"/>
              <w:rPr>
                <w:rFonts w:ascii="宋体" w:hAnsi="宋体" w:eastAsia="宋体"/>
                <w:color w:val="000000"/>
                <w:szCs w:val="24"/>
              </w:rPr>
            </w:pPr>
            <w:r>
              <w:rPr>
                <w:rFonts w:hint="eastAsia" w:ascii="宋体" w:hAnsi="宋体" w:eastAsia="宋体"/>
                <w:color w:val="000000"/>
                <w:szCs w:val="24"/>
              </w:rPr>
              <w:t>单价（元</w:t>
            </w:r>
            <w:r>
              <w:rPr>
                <w:rFonts w:hint="eastAsia" w:ascii="宋体" w:hAnsi="宋体" w:eastAsia="宋体"/>
                <w:color w:val="000000"/>
                <w:szCs w:val="24"/>
                <w:lang w:val="en-US" w:eastAsia="zh-CN"/>
              </w:rPr>
              <w:t>/吨</w:t>
            </w:r>
            <w:r>
              <w:rPr>
                <w:rFonts w:hint="eastAsia" w:ascii="宋体" w:hAnsi="宋体" w:eastAsia="宋体"/>
                <w:color w:val="000000"/>
                <w:szCs w:val="24"/>
              </w:rPr>
              <w:t>）</w:t>
            </w:r>
          </w:p>
        </w:tc>
        <w:tc>
          <w:tcPr>
            <w:tcW w:w="3130" w:type="dxa"/>
            <w:vAlign w:val="center"/>
          </w:tcPr>
          <w:p w14:paraId="2928347E">
            <w:pPr>
              <w:jc w:val="center"/>
              <w:rPr>
                <w:rFonts w:ascii="宋体" w:hAnsi="宋体" w:eastAsia="宋体"/>
                <w:color w:val="000000"/>
                <w:szCs w:val="24"/>
              </w:rPr>
            </w:pPr>
            <w:r>
              <w:rPr>
                <w:rFonts w:hint="eastAsia" w:ascii="宋体" w:hAnsi="宋体" w:eastAsia="宋体"/>
                <w:color w:val="000000"/>
                <w:szCs w:val="24"/>
              </w:rPr>
              <w:t>总价（元）</w:t>
            </w:r>
          </w:p>
        </w:tc>
      </w:tr>
      <w:tr w14:paraId="2195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4DF63F12">
            <w:pPr>
              <w:jc w:val="left"/>
              <w:rPr>
                <w:rFonts w:hint="eastAsia" w:ascii="宋体" w:hAnsi="宋体" w:eastAsia="华文中宋"/>
                <w:color w:val="000000"/>
                <w:szCs w:val="24"/>
                <w:lang w:eastAsia="zh-CN"/>
              </w:rPr>
            </w:pPr>
            <w:r>
              <w:rPr>
                <w:rFonts w:hint="eastAsia" w:ascii="宋体" w:hAnsi="宋体" w:eastAsia="宋体"/>
                <w:szCs w:val="24"/>
                <w:lang w:eastAsia="zh-CN"/>
              </w:rPr>
              <w:t>尿素</w:t>
            </w:r>
          </w:p>
        </w:tc>
        <w:tc>
          <w:tcPr>
            <w:tcW w:w="709" w:type="dxa"/>
            <w:vAlign w:val="center"/>
          </w:tcPr>
          <w:p w14:paraId="1461AF37">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150</w:t>
            </w:r>
          </w:p>
        </w:tc>
        <w:tc>
          <w:tcPr>
            <w:tcW w:w="2823" w:type="dxa"/>
            <w:vAlign w:val="center"/>
          </w:tcPr>
          <w:p w14:paraId="4EA0B78E">
            <w:pPr>
              <w:jc w:val="center"/>
              <w:rPr>
                <w:rFonts w:ascii="宋体" w:hAnsi="宋体" w:eastAsia="宋体"/>
                <w:color w:val="000000"/>
                <w:szCs w:val="24"/>
              </w:rPr>
            </w:pPr>
          </w:p>
        </w:tc>
        <w:tc>
          <w:tcPr>
            <w:tcW w:w="3130" w:type="dxa"/>
            <w:vAlign w:val="center"/>
          </w:tcPr>
          <w:p w14:paraId="1D836DC9">
            <w:pPr>
              <w:jc w:val="center"/>
              <w:rPr>
                <w:rFonts w:ascii="宋体" w:hAnsi="宋体" w:eastAsia="宋体"/>
                <w:color w:val="000000"/>
                <w:szCs w:val="24"/>
              </w:rPr>
            </w:pPr>
          </w:p>
        </w:tc>
      </w:tr>
      <w:tr w14:paraId="0401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AC14E02">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48D5725B">
            <w:pPr>
              <w:jc w:val="left"/>
              <w:rPr>
                <w:rFonts w:ascii="宋体" w:hAnsi="宋体" w:eastAsia="宋体"/>
                <w:color w:val="000000"/>
                <w:szCs w:val="24"/>
              </w:rPr>
            </w:pPr>
            <w:r>
              <w:rPr>
                <w:rFonts w:hint="eastAsia" w:ascii="宋体" w:hAnsi="宋体" w:eastAsia="宋体"/>
                <w:color w:val="000000"/>
                <w:szCs w:val="24"/>
              </w:rPr>
              <w:t>(大写)</w:t>
            </w:r>
          </w:p>
        </w:tc>
      </w:tr>
      <w:tr w14:paraId="75FE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3098B3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38365827">
            <w:pPr>
              <w:jc w:val="left"/>
              <w:rPr>
                <w:rFonts w:hint="default" w:ascii="宋体" w:hAnsi="宋体" w:eastAsia="宋体"/>
                <w:color w:val="000000"/>
                <w:szCs w:val="24"/>
                <w:lang w:val="en-US" w:eastAsia="zh-CN"/>
              </w:rPr>
            </w:pPr>
            <w:r>
              <w:rPr>
                <w:rFonts w:hint="eastAsia" w:ascii="宋体" w:hAnsi="宋体" w:eastAsia="宋体"/>
                <w:color w:val="000000"/>
                <w:szCs w:val="24"/>
                <w:lang w:val="en-US" w:eastAsia="zh-CN"/>
              </w:rPr>
              <w:t>9%</w:t>
            </w:r>
          </w:p>
        </w:tc>
      </w:tr>
      <w:tr w14:paraId="7F70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3F81CFA5">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B76F667">
            <w:pPr>
              <w:jc w:val="center"/>
              <w:rPr>
                <w:rFonts w:ascii="宋体" w:hAnsi="宋体" w:eastAsia="宋体"/>
                <w:color w:val="000000"/>
                <w:szCs w:val="24"/>
              </w:rPr>
            </w:pPr>
          </w:p>
        </w:tc>
      </w:tr>
      <w:tr w14:paraId="205F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trPr>
        <w:tc>
          <w:tcPr>
            <w:tcW w:w="2978" w:type="dxa"/>
            <w:vAlign w:val="center"/>
          </w:tcPr>
          <w:p w14:paraId="5F43DDA4">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3D995AB3">
            <w:pPr>
              <w:jc w:val="left"/>
              <w:rPr>
                <w:rFonts w:hint="default" w:ascii="宋体" w:hAnsi="宋体" w:eastAsia="宋体"/>
                <w:color w:val="000000"/>
                <w:szCs w:val="24"/>
                <w:lang w:val="en-US" w:eastAsia="zh-CN"/>
              </w:rPr>
            </w:pPr>
          </w:p>
        </w:tc>
      </w:tr>
    </w:tbl>
    <w:p w14:paraId="22B5C0DD">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w:t>
      </w:r>
      <w:r>
        <w:rPr>
          <w:rFonts w:hint="eastAsia" w:ascii="宋体" w:hAnsi="宋体" w:eastAsia="宋体" w:cs="Times New Roman"/>
          <w:color w:val="000000"/>
          <w:szCs w:val="24"/>
        </w:rPr>
        <w:t>为乙方负责运输和卸货。</w:t>
      </w:r>
    </w:p>
    <w:p w14:paraId="5B016622">
      <w:pPr>
        <w:spacing w:line="360" w:lineRule="auto"/>
        <w:ind w:firstLine="120"/>
        <w:jc w:val="right"/>
        <w:rPr>
          <w:rFonts w:ascii="宋体" w:hAnsi="宋体" w:eastAsia="宋体"/>
          <w:bCs/>
          <w:color w:val="000000"/>
          <w:szCs w:val="24"/>
        </w:rPr>
      </w:pPr>
    </w:p>
    <w:p w14:paraId="2F763E30">
      <w:pPr>
        <w:spacing w:line="360" w:lineRule="auto"/>
        <w:ind w:firstLine="120"/>
        <w:jc w:val="right"/>
        <w:rPr>
          <w:rFonts w:ascii="宋体" w:hAnsi="宋体" w:eastAsia="宋体"/>
          <w:bCs/>
          <w:color w:val="000000"/>
          <w:szCs w:val="24"/>
        </w:rPr>
      </w:pPr>
    </w:p>
    <w:p w14:paraId="47972AAF">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69" w:name="_Toc174521078"/>
      <w:bookmarkStart w:id="70" w:name="_Toc176085647"/>
    </w:p>
    <w:p w14:paraId="17516E40">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002C0345">
      <w:pPr>
        <w:pStyle w:val="3"/>
        <w:keepNext w:val="0"/>
        <w:keepLines w:val="0"/>
        <w:spacing w:before="240" w:after="240" w:line="360" w:lineRule="auto"/>
        <w:jc w:val="left"/>
        <w:rPr>
          <w:rFonts w:hint="eastAsia" w:ascii="宋体" w:hAnsi="宋体"/>
          <w:b w:val="0"/>
          <w:bCs w:val="0"/>
          <w:sz w:val="24"/>
          <w:szCs w:val="24"/>
        </w:rPr>
      </w:pPr>
      <w:r>
        <w:rPr>
          <w:rFonts w:hint="eastAsia" w:ascii="宋体" w:hAnsi="宋体"/>
          <w:b w:val="0"/>
          <w:bCs w:val="0"/>
          <w:sz w:val="24"/>
          <w:szCs w:val="24"/>
        </w:rPr>
        <w:t>附录</w:t>
      </w:r>
      <w:r>
        <w:rPr>
          <w:rFonts w:ascii="宋体" w:hAnsi="宋体"/>
          <w:b w:val="0"/>
          <w:bCs w:val="0"/>
          <w:sz w:val="24"/>
          <w:szCs w:val="24"/>
        </w:rPr>
        <w:t>1</w:t>
      </w:r>
      <w:r>
        <w:rPr>
          <w:rFonts w:hint="eastAsia" w:ascii="宋体" w:hAnsi="宋体"/>
          <w:b w:val="0"/>
          <w:bCs w:val="0"/>
          <w:sz w:val="24"/>
          <w:szCs w:val="24"/>
        </w:rPr>
        <w:t>-5报价表</w:t>
      </w:r>
      <w:bookmarkEnd w:id="69"/>
      <w:bookmarkEnd w:id="70"/>
    </w:p>
    <w:tbl>
      <w:tblPr>
        <w:tblStyle w:val="44"/>
        <w:tblW w:w="992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196"/>
        <w:gridCol w:w="1992"/>
        <w:gridCol w:w="588"/>
        <w:gridCol w:w="1185"/>
        <w:gridCol w:w="1134"/>
        <w:gridCol w:w="1473"/>
        <w:gridCol w:w="1220"/>
      </w:tblGrid>
      <w:tr w14:paraId="42DE0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35" w:type="dxa"/>
            <w:vAlign w:val="center"/>
          </w:tcPr>
          <w:p w14:paraId="6FD6BE52">
            <w:pPr>
              <w:pStyle w:val="14"/>
              <w:jc w:val="center"/>
            </w:pPr>
            <w:r>
              <w:rPr>
                <w:rFonts w:hint="eastAsia"/>
              </w:rPr>
              <w:t>材料名称</w:t>
            </w:r>
          </w:p>
        </w:tc>
        <w:tc>
          <w:tcPr>
            <w:tcW w:w="3188" w:type="dxa"/>
            <w:gridSpan w:val="2"/>
            <w:vAlign w:val="center"/>
          </w:tcPr>
          <w:p w14:paraId="54CD0705">
            <w:pPr>
              <w:pStyle w:val="14"/>
              <w:jc w:val="center"/>
            </w:pPr>
            <w:r>
              <w:rPr>
                <w:rFonts w:hint="eastAsia"/>
              </w:rPr>
              <w:t>规格型号、技术要求</w:t>
            </w:r>
          </w:p>
        </w:tc>
        <w:tc>
          <w:tcPr>
            <w:tcW w:w="588" w:type="dxa"/>
            <w:vAlign w:val="center"/>
          </w:tcPr>
          <w:p w14:paraId="7C97F394">
            <w:pPr>
              <w:pStyle w:val="14"/>
              <w:jc w:val="center"/>
            </w:pPr>
            <w:r>
              <w:rPr>
                <w:rFonts w:hint="eastAsia"/>
              </w:rPr>
              <w:t>单位</w:t>
            </w:r>
          </w:p>
        </w:tc>
        <w:tc>
          <w:tcPr>
            <w:tcW w:w="1185" w:type="dxa"/>
            <w:vAlign w:val="center"/>
          </w:tcPr>
          <w:p w14:paraId="60AE6121">
            <w:pPr>
              <w:pStyle w:val="14"/>
              <w:jc w:val="center"/>
            </w:pPr>
            <w:r>
              <w:rPr>
                <w:rFonts w:hint="eastAsia"/>
              </w:rPr>
              <w:t>暂定数量</w:t>
            </w:r>
            <w:bookmarkStart w:id="83" w:name="_GoBack"/>
            <w:bookmarkEnd w:id="83"/>
          </w:p>
        </w:tc>
        <w:tc>
          <w:tcPr>
            <w:tcW w:w="1134" w:type="dxa"/>
            <w:vAlign w:val="center"/>
          </w:tcPr>
          <w:p w14:paraId="1382B7FF">
            <w:pPr>
              <w:pStyle w:val="14"/>
              <w:jc w:val="center"/>
            </w:pPr>
            <w:r>
              <w:rPr>
                <w:rFonts w:hint="eastAsia"/>
              </w:rPr>
              <w:t>单价（元）</w:t>
            </w:r>
          </w:p>
        </w:tc>
        <w:tc>
          <w:tcPr>
            <w:tcW w:w="1473" w:type="dxa"/>
          </w:tcPr>
          <w:p w14:paraId="734F7B71">
            <w:pPr>
              <w:pStyle w:val="14"/>
              <w:jc w:val="center"/>
              <w:rPr>
                <w:rFonts w:hint="eastAsia"/>
              </w:rPr>
            </w:pPr>
            <w:r>
              <w:rPr>
                <w:rFonts w:hint="eastAsia"/>
              </w:rPr>
              <w:t>总价</w:t>
            </w:r>
          </w:p>
          <w:p w14:paraId="7365F0BB">
            <w:pPr>
              <w:pStyle w:val="14"/>
              <w:ind w:left="315" w:hanging="360" w:hangingChars="150"/>
              <w:jc w:val="center"/>
            </w:pPr>
            <w:r>
              <w:rPr>
                <w:rFonts w:hint="eastAsia"/>
              </w:rPr>
              <w:t>（元）</w:t>
            </w:r>
          </w:p>
        </w:tc>
        <w:tc>
          <w:tcPr>
            <w:tcW w:w="1220" w:type="dxa"/>
            <w:vAlign w:val="center"/>
          </w:tcPr>
          <w:p w14:paraId="7709D1CD">
            <w:pPr>
              <w:pStyle w:val="14"/>
              <w:ind w:left="360" w:leftChars="150"/>
            </w:pPr>
            <w:r>
              <w:rPr>
                <w:rFonts w:hint="eastAsia"/>
              </w:rPr>
              <w:t xml:space="preserve">备注  </w:t>
            </w:r>
          </w:p>
        </w:tc>
      </w:tr>
      <w:tr w14:paraId="1DD8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restart"/>
            <w:vAlign w:val="center"/>
          </w:tcPr>
          <w:p w14:paraId="3629C168">
            <w:pPr>
              <w:pStyle w:val="14"/>
              <w:jc w:val="left"/>
            </w:pPr>
            <w:r>
              <w:rPr>
                <w:rFonts w:hint="eastAsia"/>
              </w:rPr>
              <w:t>尿素</w:t>
            </w:r>
          </w:p>
        </w:tc>
        <w:tc>
          <w:tcPr>
            <w:tcW w:w="1196" w:type="dxa"/>
            <w:vAlign w:val="center"/>
          </w:tcPr>
          <w:p w14:paraId="20FCD51F">
            <w:pPr>
              <w:pStyle w:val="14"/>
              <w:jc w:val="center"/>
            </w:pPr>
            <w:r>
              <w:rPr>
                <w:rFonts w:hint="eastAsia"/>
              </w:rPr>
              <w:t>指标</w:t>
            </w:r>
          </w:p>
        </w:tc>
        <w:tc>
          <w:tcPr>
            <w:tcW w:w="1992" w:type="dxa"/>
            <w:vAlign w:val="center"/>
          </w:tcPr>
          <w:p w14:paraId="50D0A714">
            <w:pPr>
              <w:pStyle w:val="14"/>
              <w:jc w:val="center"/>
            </w:pPr>
            <w:r>
              <w:rPr>
                <w:rFonts w:hint="eastAsia"/>
              </w:rPr>
              <w:t>参数</w:t>
            </w:r>
          </w:p>
        </w:tc>
        <w:tc>
          <w:tcPr>
            <w:tcW w:w="588" w:type="dxa"/>
            <w:vMerge w:val="restart"/>
            <w:vAlign w:val="center"/>
          </w:tcPr>
          <w:p w14:paraId="57736061">
            <w:pPr>
              <w:pStyle w:val="14"/>
              <w:jc w:val="center"/>
            </w:pPr>
            <w:r>
              <w:rPr>
                <w:rFonts w:hint="eastAsia"/>
              </w:rPr>
              <w:t>吨</w:t>
            </w:r>
          </w:p>
        </w:tc>
        <w:tc>
          <w:tcPr>
            <w:tcW w:w="1185" w:type="dxa"/>
            <w:vMerge w:val="restart"/>
            <w:vAlign w:val="center"/>
          </w:tcPr>
          <w:p w14:paraId="04047F07">
            <w:pPr>
              <w:pStyle w:val="14"/>
              <w:jc w:val="center"/>
              <w:rPr>
                <w:rFonts w:hint="default" w:eastAsia="宋体"/>
                <w:lang w:val="en-US" w:eastAsia="zh-CN"/>
              </w:rPr>
            </w:pPr>
            <w:r>
              <w:rPr>
                <w:rFonts w:hint="eastAsia"/>
                <w:lang w:val="en-US" w:eastAsia="zh-CN"/>
              </w:rPr>
              <w:t>150</w:t>
            </w:r>
          </w:p>
        </w:tc>
        <w:tc>
          <w:tcPr>
            <w:tcW w:w="1134" w:type="dxa"/>
            <w:vMerge w:val="restart"/>
            <w:vAlign w:val="center"/>
          </w:tcPr>
          <w:p w14:paraId="2D443378">
            <w:pPr>
              <w:pStyle w:val="14"/>
            </w:pPr>
          </w:p>
        </w:tc>
        <w:tc>
          <w:tcPr>
            <w:tcW w:w="1473" w:type="dxa"/>
            <w:vMerge w:val="restart"/>
            <w:vAlign w:val="center"/>
          </w:tcPr>
          <w:p w14:paraId="62F2983C">
            <w:pPr>
              <w:pStyle w:val="14"/>
            </w:pPr>
          </w:p>
        </w:tc>
        <w:tc>
          <w:tcPr>
            <w:tcW w:w="1220" w:type="dxa"/>
            <w:vMerge w:val="restart"/>
            <w:vAlign w:val="center"/>
          </w:tcPr>
          <w:p w14:paraId="60B3821C">
            <w:pPr>
              <w:pStyle w:val="14"/>
              <w:rPr>
                <w:rFonts w:hint="default" w:eastAsia="宋体"/>
                <w:lang w:val="en-US" w:eastAsia="zh-CN"/>
              </w:rPr>
            </w:pPr>
          </w:p>
        </w:tc>
      </w:tr>
      <w:tr w14:paraId="2A8B9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5178DF0C">
            <w:pPr>
              <w:pStyle w:val="14"/>
              <w:jc w:val="center"/>
            </w:pPr>
          </w:p>
        </w:tc>
        <w:tc>
          <w:tcPr>
            <w:tcW w:w="1196" w:type="dxa"/>
            <w:vAlign w:val="center"/>
          </w:tcPr>
          <w:p w14:paraId="4D59FC26">
            <w:pPr>
              <w:pStyle w:val="14"/>
              <w:jc w:val="center"/>
            </w:pPr>
            <w:r>
              <w:rPr>
                <w:rFonts w:hint="eastAsia" w:ascii="仿宋" w:hAnsi="仿宋" w:eastAsia="仿宋"/>
                <w:sz w:val="24"/>
              </w:rPr>
              <w:t>形式</w:t>
            </w:r>
          </w:p>
        </w:tc>
        <w:tc>
          <w:tcPr>
            <w:tcW w:w="1992" w:type="dxa"/>
            <w:vAlign w:val="center"/>
          </w:tcPr>
          <w:p w14:paraId="1330B965">
            <w:pPr>
              <w:pStyle w:val="14"/>
              <w:jc w:val="center"/>
            </w:pPr>
            <w:r>
              <w:rPr>
                <w:rFonts w:hint="eastAsia"/>
                <w:snapToGrid w:val="0"/>
                <w:szCs w:val="21"/>
              </w:rPr>
              <w:t>颗粒状</w:t>
            </w:r>
          </w:p>
        </w:tc>
        <w:tc>
          <w:tcPr>
            <w:tcW w:w="588" w:type="dxa"/>
            <w:vMerge w:val="continue"/>
            <w:vAlign w:val="center"/>
          </w:tcPr>
          <w:p w14:paraId="012FB8D6">
            <w:pPr>
              <w:pStyle w:val="14"/>
              <w:jc w:val="center"/>
            </w:pPr>
          </w:p>
        </w:tc>
        <w:tc>
          <w:tcPr>
            <w:tcW w:w="1185" w:type="dxa"/>
            <w:vMerge w:val="continue"/>
            <w:vAlign w:val="center"/>
          </w:tcPr>
          <w:p w14:paraId="47AA55D1">
            <w:pPr>
              <w:pStyle w:val="14"/>
              <w:jc w:val="center"/>
            </w:pPr>
          </w:p>
        </w:tc>
        <w:tc>
          <w:tcPr>
            <w:tcW w:w="1134" w:type="dxa"/>
            <w:vMerge w:val="continue"/>
          </w:tcPr>
          <w:p w14:paraId="6E549000">
            <w:pPr>
              <w:pStyle w:val="14"/>
              <w:jc w:val="center"/>
            </w:pPr>
          </w:p>
        </w:tc>
        <w:tc>
          <w:tcPr>
            <w:tcW w:w="1473" w:type="dxa"/>
            <w:vMerge w:val="continue"/>
          </w:tcPr>
          <w:p w14:paraId="0EE983D0">
            <w:pPr>
              <w:pStyle w:val="14"/>
              <w:jc w:val="center"/>
            </w:pPr>
          </w:p>
        </w:tc>
        <w:tc>
          <w:tcPr>
            <w:tcW w:w="1220" w:type="dxa"/>
            <w:vMerge w:val="continue"/>
            <w:vAlign w:val="center"/>
          </w:tcPr>
          <w:p w14:paraId="7575C259">
            <w:pPr>
              <w:pStyle w:val="14"/>
              <w:jc w:val="center"/>
            </w:pPr>
          </w:p>
        </w:tc>
      </w:tr>
      <w:tr w14:paraId="7F11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135" w:type="dxa"/>
            <w:vMerge w:val="continue"/>
            <w:vAlign w:val="center"/>
          </w:tcPr>
          <w:p w14:paraId="7C9DA868">
            <w:pPr>
              <w:pStyle w:val="14"/>
              <w:jc w:val="center"/>
            </w:pPr>
          </w:p>
        </w:tc>
        <w:tc>
          <w:tcPr>
            <w:tcW w:w="1196" w:type="dxa"/>
            <w:vAlign w:val="center"/>
          </w:tcPr>
          <w:p w14:paraId="25DBF8B6">
            <w:pPr>
              <w:pStyle w:val="14"/>
              <w:jc w:val="center"/>
            </w:pPr>
            <w:r>
              <w:rPr>
                <w:rFonts w:hint="eastAsia" w:ascii="仿宋" w:hAnsi="仿宋" w:eastAsia="仿宋" w:cs="仿宋"/>
                <w:sz w:val="28"/>
                <w:szCs w:val="28"/>
              </w:rPr>
              <w:t>含氮量</w:t>
            </w:r>
          </w:p>
        </w:tc>
        <w:tc>
          <w:tcPr>
            <w:tcW w:w="1992" w:type="dxa"/>
            <w:vAlign w:val="center"/>
          </w:tcPr>
          <w:p w14:paraId="13DCF5FD">
            <w:pPr>
              <w:pStyle w:val="14"/>
              <w:jc w:val="center"/>
            </w:pPr>
            <w:r>
              <w:rPr>
                <w:rFonts w:ascii="仿宋" w:hAnsi="仿宋" w:eastAsia="仿宋"/>
                <w:sz w:val="24"/>
              </w:rPr>
              <w:t>≥</w:t>
            </w:r>
            <w:r>
              <w:rPr>
                <w:rFonts w:hint="eastAsia" w:ascii="仿宋" w:hAnsi="仿宋" w:eastAsia="仿宋"/>
                <w:sz w:val="24"/>
              </w:rPr>
              <w:t>46</w:t>
            </w:r>
            <w:r>
              <w:rPr>
                <w:rFonts w:ascii="仿宋" w:hAnsi="仿宋" w:eastAsia="仿宋"/>
                <w:sz w:val="24"/>
              </w:rPr>
              <w:t>%</w:t>
            </w:r>
          </w:p>
        </w:tc>
        <w:tc>
          <w:tcPr>
            <w:tcW w:w="588" w:type="dxa"/>
            <w:vMerge w:val="continue"/>
            <w:vAlign w:val="center"/>
          </w:tcPr>
          <w:p w14:paraId="72358E82">
            <w:pPr>
              <w:pStyle w:val="14"/>
              <w:jc w:val="center"/>
            </w:pPr>
          </w:p>
        </w:tc>
        <w:tc>
          <w:tcPr>
            <w:tcW w:w="1185" w:type="dxa"/>
            <w:vMerge w:val="continue"/>
            <w:vAlign w:val="center"/>
          </w:tcPr>
          <w:p w14:paraId="38244A84">
            <w:pPr>
              <w:pStyle w:val="14"/>
              <w:jc w:val="center"/>
            </w:pPr>
          </w:p>
        </w:tc>
        <w:tc>
          <w:tcPr>
            <w:tcW w:w="1134" w:type="dxa"/>
            <w:vMerge w:val="continue"/>
          </w:tcPr>
          <w:p w14:paraId="461E39BA">
            <w:pPr>
              <w:pStyle w:val="14"/>
              <w:jc w:val="center"/>
            </w:pPr>
          </w:p>
        </w:tc>
        <w:tc>
          <w:tcPr>
            <w:tcW w:w="1473" w:type="dxa"/>
            <w:vMerge w:val="continue"/>
          </w:tcPr>
          <w:p w14:paraId="64C13F02">
            <w:pPr>
              <w:pStyle w:val="14"/>
              <w:jc w:val="center"/>
            </w:pPr>
          </w:p>
        </w:tc>
        <w:tc>
          <w:tcPr>
            <w:tcW w:w="1220" w:type="dxa"/>
            <w:vMerge w:val="continue"/>
            <w:vAlign w:val="center"/>
          </w:tcPr>
          <w:p w14:paraId="2ABDE0A3">
            <w:pPr>
              <w:pStyle w:val="14"/>
              <w:jc w:val="center"/>
            </w:pPr>
          </w:p>
        </w:tc>
      </w:tr>
      <w:tr w14:paraId="3F009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35" w:type="dxa"/>
            <w:vMerge w:val="continue"/>
            <w:vAlign w:val="center"/>
          </w:tcPr>
          <w:p w14:paraId="78F79E81">
            <w:pPr>
              <w:pStyle w:val="14"/>
              <w:jc w:val="center"/>
            </w:pPr>
          </w:p>
        </w:tc>
        <w:tc>
          <w:tcPr>
            <w:tcW w:w="1196" w:type="dxa"/>
            <w:vAlign w:val="center"/>
          </w:tcPr>
          <w:p w14:paraId="7FDA819B">
            <w:pPr>
              <w:autoSpaceDE w:val="0"/>
              <w:autoSpaceDN w:val="0"/>
              <w:spacing w:line="360" w:lineRule="auto"/>
              <w:jc w:val="center"/>
              <w:rPr>
                <w:rFonts w:ascii="仿宋" w:hAnsi="仿宋" w:eastAsia="仿宋"/>
                <w:sz w:val="24"/>
              </w:rPr>
            </w:pPr>
            <w:r>
              <w:rPr>
                <w:rFonts w:hint="eastAsia" w:ascii="仿宋" w:hAnsi="仿宋" w:eastAsia="仿宋"/>
                <w:sz w:val="24"/>
              </w:rPr>
              <w:t>水不溶物</w:t>
            </w:r>
          </w:p>
        </w:tc>
        <w:tc>
          <w:tcPr>
            <w:tcW w:w="1992" w:type="dxa"/>
            <w:vAlign w:val="center"/>
          </w:tcPr>
          <w:p w14:paraId="3BDB7A78">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0.04%</w:t>
            </w:r>
          </w:p>
        </w:tc>
        <w:tc>
          <w:tcPr>
            <w:tcW w:w="588" w:type="dxa"/>
            <w:vMerge w:val="continue"/>
            <w:vAlign w:val="center"/>
          </w:tcPr>
          <w:p w14:paraId="668096E5">
            <w:pPr>
              <w:pStyle w:val="14"/>
              <w:jc w:val="center"/>
            </w:pPr>
          </w:p>
        </w:tc>
        <w:tc>
          <w:tcPr>
            <w:tcW w:w="1185" w:type="dxa"/>
            <w:vMerge w:val="continue"/>
            <w:vAlign w:val="center"/>
          </w:tcPr>
          <w:p w14:paraId="000EFE44">
            <w:pPr>
              <w:pStyle w:val="14"/>
              <w:jc w:val="center"/>
            </w:pPr>
          </w:p>
        </w:tc>
        <w:tc>
          <w:tcPr>
            <w:tcW w:w="1134" w:type="dxa"/>
            <w:vMerge w:val="continue"/>
          </w:tcPr>
          <w:p w14:paraId="776BC858">
            <w:pPr>
              <w:pStyle w:val="14"/>
              <w:jc w:val="center"/>
            </w:pPr>
          </w:p>
        </w:tc>
        <w:tc>
          <w:tcPr>
            <w:tcW w:w="1473" w:type="dxa"/>
            <w:vMerge w:val="continue"/>
          </w:tcPr>
          <w:p w14:paraId="186A41DF">
            <w:pPr>
              <w:pStyle w:val="14"/>
              <w:jc w:val="center"/>
            </w:pPr>
          </w:p>
        </w:tc>
        <w:tc>
          <w:tcPr>
            <w:tcW w:w="1220" w:type="dxa"/>
            <w:vMerge w:val="continue"/>
            <w:vAlign w:val="center"/>
          </w:tcPr>
          <w:p w14:paraId="190F0AE0">
            <w:pPr>
              <w:pStyle w:val="14"/>
              <w:jc w:val="center"/>
            </w:pPr>
          </w:p>
        </w:tc>
      </w:tr>
      <w:tr w14:paraId="6A730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4A7FEDBE">
            <w:pPr>
              <w:pStyle w:val="14"/>
              <w:jc w:val="center"/>
            </w:pPr>
          </w:p>
        </w:tc>
        <w:tc>
          <w:tcPr>
            <w:tcW w:w="1196" w:type="dxa"/>
            <w:vAlign w:val="center"/>
          </w:tcPr>
          <w:p w14:paraId="05679882">
            <w:pPr>
              <w:autoSpaceDE w:val="0"/>
              <w:autoSpaceDN w:val="0"/>
              <w:spacing w:line="360" w:lineRule="auto"/>
              <w:jc w:val="center"/>
              <w:rPr>
                <w:rFonts w:ascii="仿宋" w:hAnsi="仿宋" w:eastAsia="仿宋"/>
                <w:sz w:val="24"/>
              </w:rPr>
            </w:pPr>
            <w:r>
              <w:rPr>
                <w:rFonts w:hint="eastAsia" w:ascii="仿宋" w:hAnsi="仿宋" w:eastAsia="仿宋"/>
                <w:sz w:val="24"/>
              </w:rPr>
              <w:t>缩二脲</w:t>
            </w:r>
          </w:p>
        </w:tc>
        <w:tc>
          <w:tcPr>
            <w:tcW w:w="1992" w:type="dxa"/>
            <w:vAlign w:val="center"/>
          </w:tcPr>
          <w:p w14:paraId="3BF08EDA">
            <w:pPr>
              <w:autoSpaceDE w:val="0"/>
              <w:autoSpaceDN w:val="0"/>
              <w:spacing w:line="360" w:lineRule="auto"/>
              <w:jc w:val="center"/>
              <w:rPr>
                <w:rFonts w:ascii="仿宋" w:hAnsi="仿宋" w:eastAsia="仿宋"/>
                <w:sz w:val="24"/>
              </w:rPr>
            </w:pPr>
            <w:r>
              <w:rPr>
                <w:rFonts w:ascii="仿宋" w:hAnsi="仿宋" w:eastAsia="仿宋"/>
                <w:sz w:val="24"/>
              </w:rPr>
              <w:t>≤0</w:t>
            </w:r>
            <w:r>
              <w:rPr>
                <w:rFonts w:hint="eastAsia" w:ascii="仿宋" w:hAnsi="仿宋" w:eastAsia="仿宋"/>
                <w:sz w:val="24"/>
              </w:rPr>
              <w:t>.</w:t>
            </w:r>
            <w:r>
              <w:rPr>
                <w:rFonts w:ascii="仿宋" w:hAnsi="仿宋" w:eastAsia="仿宋"/>
                <w:sz w:val="24"/>
              </w:rPr>
              <w:t>9</w:t>
            </w:r>
            <w:r>
              <w:rPr>
                <w:rFonts w:hint="eastAsia" w:ascii="仿宋" w:hAnsi="仿宋" w:eastAsia="仿宋"/>
                <w:sz w:val="24"/>
              </w:rPr>
              <w:t>%</w:t>
            </w:r>
          </w:p>
        </w:tc>
        <w:tc>
          <w:tcPr>
            <w:tcW w:w="588" w:type="dxa"/>
            <w:vMerge w:val="continue"/>
            <w:vAlign w:val="center"/>
          </w:tcPr>
          <w:p w14:paraId="3CFA8C81">
            <w:pPr>
              <w:pStyle w:val="14"/>
              <w:jc w:val="center"/>
            </w:pPr>
          </w:p>
        </w:tc>
        <w:tc>
          <w:tcPr>
            <w:tcW w:w="1185" w:type="dxa"/>
            <w:vMerge w:val="continue"/>
            <w:vAlign w:val="center"/>
          </w:tcPr>
          <w:p w14:paraId="3D3EDED5">
            <w:pPr>
              <w:pStyle w:val="14"/>
              <w:jc w:val="center"/>
            </w:pPr>
          </w:p>
        </w:tc>
        <w:tc>
          <w:tcPr>
            <w:tcW w:w="1134" w:type="dxa"/>
            <w:vMerge w:val="continue"/>
          </w:tcPr>
          <w:p w14:paraId="0265EDD8">
            <w:pPr>
              <w:pStyle w:val="14"/>
              <w:jc w:val="center"/>
            </w:pPr>
          </w:p>
        </w:tc>
        <w:tc>
          <w:tcPr>
            <w:tcW w:w="1473" w:type="dxa"/>
            <w:vMerge w:val="continue"/>
          </w:tcPr>
          <w:p w14:paraId="510270FA">
            <w:pPr>
              <w:pStyle w:val="14"/>
              <w:jc w:val="center"/>
            </w:pPr>
          </w:p>
        </w:tc>
        <w:tc>
          <w:tcPr>
            <w:tcW w:w="1220" w:type="dxa"/>
            <w:vMerge w:val="continue"/>
            <w:vAlign w:val="center"/>
          </w:tcPr>
          <w:p w14:paraId="76F0D13C">
            <w:pPr>
              <w:pStyle w:val="14"/>
              <w:jc w:val="center"/>
            </w:pPr>
          </w:p>
        </w:tc>
      </w:tr>
      <w:tr w14:paraId="7226F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135" w:type="dxa"/>
            <w:vMerge w:val="continue"/>
            <w:vAlign w:val="center"/>
          </w:tcPr>
          <w:p w14:paraId="3E888E09">
            <w:pPr>
              <w:pStyle w:val="14"/>
              <w:jc w:val="center"/>
            </w:pPr>
          </w:p>
        </w:tc>
        <w:tc>
          <w:tcPr>
            <w:tcW w:w="1196" w:type="dxa"/>
            <w:vAlign w:val="center"/>
          </w:tcPr>
          <w:p w14:paraId="7DD57FA4">
            <w:pPr>
              <w:autoSpaceDE w:val="0"/>
              <w:autoSpaceDN w:val="0"/>
              <w:spacing w:line="360" w:lineRule="auto"/>
              <w:jc w:val="center"/>
              <w:rPr>
                <w:rFonts w:ascii="仿宋" w:hAnsi="仿宋" w:eastAsia="仿宋"/>
                <w:sz w:val="24"/>
              </w:rPr>
            </w:pPr>
            <w:r>
              <w:rPr>
                <w:rFonts w:hint="eastAsia" w:ascii="仿宋" w:hAnsi="仿宋" w:eastAsia="仿宋"/>
                <w:sz w:val="24"/>
              </w:rPr>
              <w:t>水份</w:t>
            </w:r>
          </w:p>
        </w:tc>
        <w:tc>
          <w:tcPr>
            <w:tcW w:w="1992" w:type="dxa"/>
            <w:vAlign w:val="center"/>
          </w:tcPr>
          <w:p w14:paraId="3DF1759C">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w:t>
            </w:r>
            <w:r>
              <w:rPr>
                <w:rFonts w:ascii="仿宋" w:hAnsi="仿宋" w:eastAsia="仿宋"/>
                <w:sz w:val="24"/>
              </w:rPr>
              <w:t>5</w:t>
            </w:r>
            <w:r>
              <w:rPr>
                <w:rFonts w:hint="eastAsia" w:ascii="仿宋" w:hAnsi="仿宋" w:eastAsia="仿宋"/>
                <w:sz w:val="24"/>
              </w:rPr>
              <w:t>%</w:t>
            </w:r>
          </w:p>
        </w:tc>
        <w:tc>
          <w:tcPr>
            <w:tcW w:w="588" w:type="dxa"/>
            <w:vMerge w:val="continue"/>
            <w:vAlign w:val="center"/>
          </w:tcPr>
          <w:p w14:paraId="5EC02956">
            <w:pPr>
              <w:pStyle w:val="14"/>
              <w:jc w:val="center"/>
            </w:pPr>
          </w:p>
        </w:tc>
        <w:tc>
          <w:tcPr>
            <w:tcW w:w="1185" w:type="dxa"/>
            <w:vMerge w:val="continue"/>
            <w:vAlign w:val="center"/>
          </w:tcPr>
          <w:p w14:paraId="77A326DB">
            <w:pPr>
              <w:pStyle w:val="14"/>
              <w:jc w:val="center"/>
            </w:pPr>
          </w:p>
        </w:tc>
        <w:tc>
          <w:tcPr>
            <w:tcW w:w="1134" w:type="dxa"/>
            <w:vMerge w:val="continue"/>
          </w:tcPr>
          <w:p w14:paraId="4983C6A0">
            <w:pPr>
              <w:pStyle w:val="14"/>
              <w:jc w:val="center"/>
            </w:pPr>
          </w:p>
        </w:tc>
        <w:tc>
          <w:tcPr>
            <w:tcW w:w="1473" w:type="dxa"/>
            <w:vMerge w:val="continue"/>
          </w:tcPr>
          <w:p w14:paraId="37E8BCCE">
            <w:pPr>
              <w:pStyle w:val="14"/>
              <w:jc w:val="center"/>
            </w:pPr>
          </w:p>
        </w:tc>
        <w:tc>
          <w:tcPr>
            <w:tcW w:w="1220" w:type="dxa"/>
            <w:vMerge w:val="continue"/>
            <w:vAlign w:val="center"/>
          </w:tcPr>
          <w:p w14:paraId="71195A8D">
            <w:pPr>
              <w:pStyle w:val="14"/>
              <w:jc w:val="center"/>
            </w:pPr>
          </w:p>
        </w:tc>
      </w:tr>
      <w:tr w14:paraId="47ED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67175905">
            <w:pPr>
              <w:pStyle w:val="14"/>
              <w:jc w:val="center"/>
            </w:pPr>
          </w:p>
        </w:tc>
        <w:tc>
          <w:tcPr>
            <w:tcW w:w="1196" w:type="dxa"/>
            <w:vAlign w:val="center"/>
          </w:tcPr>
          <w:p w14:paraId="621B3B50">
            <w:pPr>
              <w:autoSpaceDE w:val="0"/>
              <w:autoSpaceDN w:val="0"/>
              <w:spacing w:line="360" w:lineRule="auto"/>
              <w:jc w:val="center"/>
              <w:rPr>
                <w:rFonts w:ascii="仿宋" w:hAnsi="仿宋" w:eastAsia="仿宋"/>
                <w:sz w:val="24"/>
              </w:rPr>
            </w:pPr>
            <w:r>
              <w:rPr>
                <w:rFonts w:hint="eastAsia" w:ascii="仿宋" w:hAnsi="仿宋" w:eastAsia="仿宋"/>
                <w:sz w:val="24"/>
              </w:rPr>
              <w:t>铁</w:t>
            </w:r>
          </w:p>
        </w:tc>
        <w:tc>
          <w:tcPr>
            <w:tcW w:w="1992" w:type="dxa"/>
            <w:vAlign w:val="center"/>
          </w:tcPr>
          <w:p w14:paraId="3403C8F2">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0.001%</w:t>
            </w:r>
          </w:p>
        </w:tc>
        <w:tc>
          <w:tcPr>
            <w:tcW w:w="588" w:type="dxa"/>
            <w:vMerge w:val="continue"/>
            <w:vAlign w:val="center"/>
          </w:tcPr>
          <w:p w14:paraId="2639876C">
            <w:pPr>
              <w:pStyle w:val="14"/>
              <w:jc w:val="center"/>
            </w:pPr>
          </w:p>
        </w:tc>
        <w:tc>
          <w:tcPr>
            <w:tcW w:w="1185" w:type="dxa"/>
            <w:vMerge w:val="continue"/>
            <w:vAlign w:val="center"/>
          </w:tcPr>
          <w:p w14:paraId="6CFFA0C1">
            <w:pPr>
              <w:pStyle w:val="14"/>
              <w:jc w:val="center"/>
            </w:pPr>
          </w:p>
        </w:tc>
        <w:tc>
          <w:tcPr>
            <w:tcW w:w="1134" w:type="dxa"/>
            <w:vMerge w:val="continue"/>
          </w:tcPr>
          <w:p w14:paraId="37AED212">
            <w:pPr>
              <w:pStyle w:val="14"/>
              <w:jc w:val="center"/>
            </w:pPr>
          </w:p>
        </w:tc>
        <w:tc>
          <w:tcPr>
            <w:tcW w:w="1473" w:type="dxa"/>
            <w:vMerge w:val="continue"/>
          </w:tcPr>
          <w:p w14:paraId="1DD37208">
            <w:pPr>
              <w:pStyle w:val="14"/>
              <w:jc w:val="center"/>
            </w:pPr>
          </w:p>
        </w:tc>
        <w:tc>
          <w:tcPr>
            <w:tcW w:w="1220" w:type="dxa"/>
            <w:vMerge w:val="continue"/>
            <w:vAlign w:val="center"/>
          </w:tcPr>
          <w:p w14:paraId="2F7683F4">
            <w:pPr>
              <w:pStyle w:val="14"/>
              <w:jc w:val="center"/>
            </w:pPr>
          </w:p>
        </w:tc>
      </w:tr>
      <w:tr w14:paraId="420C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0701EAC9">
            <w:pPr>
              <w:pStyle w:val="14"/>
              <w:jc w:val="center"/>
            </w:pPr>
          </w:p>
        </w:tc>
        <w:tc>
          <w:tcPr>
            <w:tcW w:w="1196" w:type="dxa"/>
            <w:vAlign w:val="center"/>
          </w:tcPr>
          <w:p w14:paraId="7C69A0DE">
            <w:pPr>
              <w:autoSpaceDE w:val="0"/>
              <w:autoSpaceDN w:val="0"/>
              <w:spacing w:line="360" w:lineRule="auto"/>
              <w:jc w:val="center"/>
              <w:rPr>
                <w:rFonts w:ascii="仿宋" w:hAnsi="仿宋" w:eastAsia="仿宋"/>
                <w:sz w:val="24"/>
              </w:rPr>
            </w:pPr>
            <w:r>
              <w:rPr>
                <w:rFonts w:hint="eastAsia" w:ascii="仿宋" w:hAnsi="仿宋" w:eastAsia="仿宋"/>
                <w:sz w:val="24"/>
              </w:rPr>
              <w:t>碱度</w:t>
            </w:r>
          </w:p>
        </w:tc>
        <w:tc>
          <w:tcPr>
            <w:tcW w:w="1992" w:type="dxa"/>
            <w:vAlign w:val="center"/>
          </w:tcPr>
          <w:p w14:paraId="626AE4A7">
            <w:pPr>
              <w:autoSpaceDE w:val="0"/>
              <w:autoSpaceDN w:val="0"/>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0.03%</w:t>
            </w:r>
          </w:p>
        </w:tc>
        <w:tc>
          <w:tcPr>
            <w:tcW w:w="588" w:type="dxa"/>
            <w:vMerge w:val="continue"/>
            <w:vAlign w:val="center"/>
          </w:tcPr>
          <w:p w14:paraId="47531477">
            <w:pPr>
              <w:pStyle w:val="14"/>
              <w:jc w:val="center"/>
            </w:pPr>
          </w:p>
        </w:tc>
        <w:tc>
          <w:tcPr>
            <w:tcW w:w="1185" w:type="dxa"/>
            <w:vMerge w:val="continue"/>
            <w:vAlign w:val="center"/>
          </w:tcPr>
          <w:p w14:paraId="4A058008">
            <w:pPr>
              <w:pStyle w:val="14"/>
              <w:jc w:val="center"/>
            </w:pPr>
          </w:p>
        </w:tc>
        <w:tc>
          <w:tcPr>
            <w:tcW w:w="1134" w:type="dxa"/>
            <w:vMerge w:val="continue"/>
          </w:tcPr>
          <w:p w14:paraId="6C1091E5">
            <w:pPr>
              <w:pStyle w:val="14"/>
              <w:jc w:val="center"/>
            </w:pPr>
          </w:p>
        </w:tc>
        <w:tc>
          <w:tcPr>
            <w:tcW w:w="1473" w:type="dxa"/>
            <w:vMerge w:val="continue"/>
          </w:tcPr>
          <w:p w14:paraId="1E437BE7">
            <w:pPr>
              <w:pStyle w:val="14"/>
              <w:jc w:val="center"/>
            </w:pPr>
          </w:p>
        </w:tc>
        <w:tc>
          <w:tcPr>
            <w:tcW w:w="1220" w:type="dxa"/>
            <w:vMerge w:val="continue"/>
            <w:vAlign w:val="center"/>
          </w:tcPr>
          <w:p w14:paraId="4E71B5EA">
            <w:pPr>
              <w:pStyle w:val="14"/>
              <w:jc w:val="center"/>
            </w:pPr>
          </w:p>
        </w:tc>
      </w:tr>
      <w:tr w14:paraId="51AB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vMerge w:val="continue"/>
            <w:vAlign w:val="center"/>
          </w:tcPr>
          <w:p w14:paraId="1B47ED5D">
            <w:pPr>
              <w:pStyle w:val="14"/>
              <w:jc w:val="center"/>
            </w:pPr>
          </w:p>
        </w:tc>
        <w:tc>
          <w:tcPr>
            <w:tcW w:w="1196" w:type="dxa"/>
            <w:vAlign w:val="center"/>
          </w:tcPr>
          <w:p w14:paraId="06C05849">
            <w:pPr>
              <w:spacing w:line="360" w:lineRule="auto"/>
              <w:jc w:val="center"/>
              <w:rPr>
                <w:rFonts w:ascii="仿宋" w:hAnsi="仿宋" w:eastAsia="仿宋"/>
                <w:sz w:val="24"/>
              </w:rPr>
            </w:pPr>
            <w:r>
              <w:rPr>
                <w:rFonts w:ascii="仿宋" w:hAnsi="仿宋" w:eastAsia="仿宋"/>
                <w:sz w:val="24"/>
              </w:rPr>
              <w:t>硫酸盐</w:t>
            </w:r>
          </w:p>
        </w:tc>
        <w:tc>
          <w:tcPr>
            <w:tcW w:w="1992" w:type="dxa"/>
            <w:vAlign w:val="center"/>
          </w:tcPr>
          <w:p w14:paraId="4F16A779">
            <w:pPr>
              <w:spacing w:line="360" w:lineRule="auto"/>
              <w:jc w:val="center"/>
              <w:rPr>
                <w:rFonts w:ascii="仿宋" w:hAnsi="仿宋" w:eastAsia="仿宋"/>
                <w:sz w:val="24"/>
              </w:rPr>
            </w:pPr>
            <w:r>
              <w:rPr>
                <w:rFonts w:ascii="仿宋" w:hAnsi="仿宋" w:eastAsia="仿宋"/>
                <w:sz w:val="24"/>
              </w:rPr>
              <w:t>≤</w:t>
            </w:r>
            <w:r>
              <w:rPr>
                <w:rFonts w:hint="eastAsia" w:ascii="仿宋" w:hAnsi="仿宋" w:eastAsia="仿宋"/>
                <w:sz w:val="24"/>
              </w:rPr>
              <w:t>0.02%</w:t>
            </w:r>
          </w:p>
        </w:tc>
        <w:tc>
          <w:tcPr>
            <w:tcW w:w="588" w:type="dxa"/>
            <w:vMerge w:val="continue"/>
            <w:vAlign w:val="center"/>
          </w:tcPr>
          <w:p w14:paraId="2768C1B8">
            <w:pPr>
              <w:pStyle w:val="14"/>
              <w:jc w:val="center"/>
            </w:pPr>
          </w:p>
        </w:tc>
        <w:tc>
          <w:tcPr>
            <w:tcW w:w="1185" w:type="dxa"/>
            <w:vMerge w:val="continue"/>
            <w:vAlign w:val="center"/>
          </w:tcPr>
          <w:p w14:paraId="13FD5187">
            <w:pPr>
              <w:pStyle w:val="14"/>
              <w:jc w:val="center"/>
            </w:pPr>
          </w:p>
        </w:tc>
        <w:tc>
          <w:tcPr>
            <w:tcW w:w="1134" w:type="dxa"/>
            <w:vMerge w:val="continue"/>
          </w:tcPr>
          <w:p w14:paraId="37142D50">
            <w:pPr>
              <w:pStyle w:val="14"/>
              <w:jc w:val="center"/>
            </w:pPr>
          </w:p>
        </w:tc>
        <w:tc>
          <w:tcPr>
            <w:tcW w:w="1473" w:type="dxa"/>
            <w:vMerge w:val="continue"/>
          </w:tcPr>
          <w:p w14:paraId="57DE8821">
            <w:pPr>
              <w:pStyle w:val="14"/>
              <w:jc w:val="center"/>
            </w:pPr>
          </w:p>
        </w:tc>
        <w:tc>
          <w:tcPr>
            <w:tcW w:w="1220" w:type="dxa"/>
            <w:vMerge w:val="continue"/>
            <w:vAlign w:val="center"/>
          </w:tcPr>
          <w:p w14:paraId="0E8D4E74">
            <w:pPr>
              <w:pStyle w:val="14"/>
              <w:jc w:val="center"/>
            </w:pPr>
          </w:p>
        </w:tc>
      </w:tr>
    </w:tbl>
    <w:p w14:paraId="3B83ED2D">
      <w:pPr>
        <w:rPr>
          <w:rFonts w:hint="eastAsia"/>
        </w:rPr>
      </w:pPr>
    </w:p>
    <w:p w14:paraId="63615809">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尿素质量执行中华人民共和国国家标准：GB/T 2440—2017农业用（肥料）尿素优等品质量标准。若该中华人民共和国化工行业标准发生变化，按最新标准执行。同时尿素必须是全新的，要求为细颗粒的，不允许结块，防潮袋装。以上数量为暂定数量，具体数量以甲方实际运营所需来定，甲方会根据实际运行情况提前两天通知乙方送货并告知所送货的数量。乙方负责运输和卸货</w:t>
      </w:r>
      <w:r>
        <w:rPr>
          <w:rFonts w:hint="eastAsia" w:cs="Times New Roman" w:asciiTheme="minorHAnsi" w:hAnsiTheme="minorHAnsi" w:eastAsiaTheme="minorEastAsia"/>
          <w:b w:val="0"/>
          <w:bCs w:val="0"/>
          <w:kern w:val="2"/>
          <w:sz w:val="21"/>
          <w:szCs w:val="21"/>
          <w:lang w:eastAsia="zh-CN"/>
        </w:rPr>
        <w:t>、</w:t>
      </w:r>
      <w:r>
        <w:rPr>
          <w:rFonts w:hint="eastAsia" w:cs="Times New Roman" w:asciiTheme="minorHAnsi" w:hAnsiTheme="minorHAnsi" w:eastAsiaTheme="minorEastAsia"/>
          <w:b w:val="0"/>
          <w:bCs w:val="0"/>
          <w:kern w:val="2"/>
          <w:sz w:val="21"/>
          <w:szCs w:val="21"/>
        </w:rPr>
        <w:t>开具9%增值税专用发票</w:t>
      </w:r>
      <w:r>
        <w:rPr>
          <w:rFonts w:hint="eastAsia" w:cs="Times New Roman" w:asciiTheme="minorHAnsi" w:hAnsiTheme="minorHAnsi" w:eastAsiaTheme="minorEastAsia"/>
          <w:b w:val="0"/>
          <w:bCs w:val="0"/>
          <w:kern w:val="2"/>
          <w:sz w:val="21"/>
          <w:szCs w:val="21"/>
          <w:lang w:eastAsia="zh-CN"/>
        </w:rPr>
        <w:t>。</w:t>
      </w:r>
    </w:p>
    <w:p w14:paraId="5C0B9AA8">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rPr>
      </w:pPr>
      <w:r>
        <w:rPr>
          <w:rFonts w:hint="eastAsia" w:cs="Times New Roman" w:asciiTheme="minorHAnsi" w:hAnsiTheme="minorHAnsi" w:eastAsiaTheme="minorEastAsia"/>
          <w:b w:val="0"/>
          <w:bCs w:val="0"/>
          <w:kern w:val="2"/>
          <w:sz w:val="21"/>
          <w:szCs w:val="21"/>
        </w:rPr>
        <w:t>付款方式：</w:t>
      </w:r>
      <w:r>
        <w:rPr>
          <w:rFonts w:hint="eastAsia" w:cs="Times New Roman" w:asciiTheme="minorHAnsi" w:hAnsiTheme="minorHAnsi" w:eastAsiaTheme="minorEastAsia"/>
          <w:b/>
          <w:bCs/>
          <w:kern w:val="2"/>
          <w:sz w:val="21"/>
          <w:szCs w:val="21"/>
        </w:rPr>
        <w:t>每月21号统计上月21-本月20日实际交货的数量（经甲方验收合格），通知乙方开票、实际付款时间为甲方收到乙方发票后</w:t>
      </w:r>
      <w:r>
        <w:rPr>
          <w:rFonts w:hint="eastAsia" w:cs="Times New Roman" w:asciiTheme="minorHAnsi" w:hAnsiTheme="minorHAnsi" w:eastAsiaTheme="minorEastAsia"/>
          <w:b/>
          <w:bCs/>
          <w:kern w:val="2"/>
          <w:sz w:val="21"/>
          <w:szCs w:val="21"/>
          <w:lang w:val="en-US" w:eastAsia="zh-CN"/>
        </w:rPr>
        <w:t>60</w:t>
      </w:r>
      <w:r>
        <w:rPr>
          <w:rFonts w:hint="eastAsia" w:cs="Times New Roman" w:asciiTheme="minorHAnsi" w:hAnsiTheme="minorHAnsi" w:eastAsiaTheme="minorEastAsia"/>
          <w:b/>
          <w:bCs/>
          <w:kern w:val="2"/>
          <w:sz w:val="21"/>
          <w:szCs w:val="21"/>
        </w:rPr>
        <w:t>天左右付款</w:t>
      </w:r>
      <w:r>
        <w:rPr>
          <w:rFonts w:hint="eastAsia" w:cs="Times New Roman" w:asciiTheme="minorHAnsi" w:hAnsiTheme="minorHAnsi" w:eastAsiaTheme="minorEastAsia"/>
          <w:b w:val="0"/>
          <w:bCs w:val="0"/>
          <w:kern w:val="2"/>
          <w:sz w:val="21"/>
          <w:szCs w:val="21"/>
        </w:rPr>
        <w:t>。</w:t>
      </w:r>
    </w:p>
    <w:p w14:paraId="20DC50F7">
      <w:pPr>
        <w:pStyle w:val="38"/>
        <w:spacing w:before="0" w:beforeAutospacing="0" w:after="0" w:afterAutospacing="0" w:line="360" w:lineRule="auto"/>
        <w:rPr>
          <w:rFonts w:hint="eastAsia" w:cs="Times New Roman" w:asciiTheme="minorHAnsi" w:hAnsiTheme="minorHAnsi" w:eastAsiaTheme="minorEastAsia"/>
          <w:b w:val="0"/>
          <w:bCs w:val="0"/>
          <w:kern w:val="2"/>
          <w:sz w:val="21"/>
          <w:szCs w:val="21"/>
          <w:lang w:eastAsia="zh-CN"/>
        </w:rPr>
      </w:pPr>
      <w:r>
        <w:rPr>
          <w:rFonts w:hint="eastAsia" w:cs="Times New Roman" w:asciiTheme="minorHAnsi" w:hAnsiTheme="minorHAnsi" w:eastAsiaTheme="minorEastAsia"/>
          <w:b w:val="0"/>
          <w:bCs w:val="0"/>
          <w:kern w:val="2"/>
          <w:sz w:val="21"/>
          <w:szCs w:val="21"/>
        </w:rPr>
        <w:t>交货地点：</w:t>
      </w:r>
      <w:r>
        <w:rPr>
          <w:rFonts w:hint="eastAsia" w:cs="Times New Roman" w:asciiTheme="minorHAnsi" w:hAnsiTheme="minorHAnsi" w:eastAsiaTheme="minorEastAsia"/>
          <w:b w:val="0"/>
          <w:bCs w:val="0"/>
          <w:kern w:val="2"/>
          <w:sz w:val="21"/>
          <w:szCs w:val="21"/>
          <w:lang w:eastAsia="zh-CN"/>
        </w:rPr>
        <w:t>广东省茂名高州市金山工业区高州绿能环保发电项目现场</w:t>
      </w:r>
    </w:p>
    <w:p w14:paraId="4514B1F3">
      <w:pPr>
        <w:pStyle w:val="38"/>
        <w:spacing w:before="0" w:beforeAutospacing="0" w:after="0" w:afterAutospacing="0" w:line="360" w:lineRule="auto"/>
        <w:rPr>
          <w:rFonts w:hint="eastAsia" w:asciiTheme="minorHAnsi" w:hAnsiTheme="minorHAnsi" w:eastAsiaTheme="minorEastAsia" w:cstheme="minorBidi"/>
          <w:kern w:val="2"/>
          <w:sz w:val="21"/>
          <w:szCs w:val="21"/>
          <w:lang w:val="en-US" w:eastAsia="zh-CN" w:bidi="ar-SA"/>
        </w:rPr>
      </w:pPr>
      <w:r>
        <w:rPr>
          <w:rFonts w:hint="eastAsia" w:asciiTheme="minorHAnsi" w:hAnsiTheme="minorHAnsi" w:eastAsiaTheme="minorEastAsia" w:cstheme="minorBidi"/>
          <w:kern w:val="2"/>
          <w:sz w:val="21"/>
          <w:szCs w:val="21"/>
          <w:lang w:val="en-US" w:eastAsia="zh-CN" w:bidi="ar-SA"/>
        </w:rPr>
        <w:t>交货时间：2025-6-26到2026-6-20。</w:t>
      </w:r>
    </w:p>
    <w:p w14:paraId="20C4B282">
      <w:pPr>
        <w:snapToGrid w:val="0"/>
        <w:spacing w:line="580" w:lineRule="exact"/>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AD27D5A">
      <w:pPr>
        <w:ind w:left="88" w:leftChars="1" w:hanging="86" w:hangingChars="36"/>
        <w:rPr>
          <w:rFonts w:ascii="宋体" w:hAnsi="宋体" w:eastAsia="宋体"/>
          <w:bCs/>
          <w:color w:val="000000"/>
          <w:szCs w:val="24"/>
        </w:rPr>
      </w:pPr>
      <w:bookmarkStart w:id="71" w:name="_Toc456799804"/>
      <w:bookmarkStart w:id="72" w:name="_Toc176085649"/>
      <w:bookmarkStart w:id="73" w:name="_Toc456799956"/>
      <w:bookmarkStart w:id="74" w:name="_Toc456799696"/>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71"/>
      <w:bookmarkEnd w:id="72"/>
      <w:bookmarkEnd w:id="73"/>
      <w:bookmarkEnd w:id="74"/>
    </w:p>
    <w:p w14:paraId="07ACEEDE">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5185F566">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27893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96DD403">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0A2DBF8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0B0ADA7">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2194C4C1">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BE88348">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5560F5C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6296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A6B3508">
            <w:pPr>
              <w:spacing w:before="163" w:beforeLines="50" w:after="163" w:afterLines="50"/>
              <w:rPr>
                <w:rFonts w:ascii="宋体" w:hAnsi="宋体" w:eastAsia="宋体"/>
                <w:color w:val="000000"/>
                <w:szCs w:val="24"/>
              </w:rPr>
            </w:pPr>
          </w:p>
        </w:tc>
        <w:tc>
          <w:tcPr>
            <w:tcW w:w="2291" w:type="dxa"/>
          </w:tcPr>
          <w:p w14:paraId="4A86DCB1">
            <w:pPr>
              <w:spacing w:before="163" w:beforeLines="50" w:after="163" w:afterLines="50"/>
              <w:rPr>
                <w:rFonts w:ascii="宋体" w:hAnsi="宋体" w:eastAsia="宋体"/>
                <w:color w:val="000000"/>
                <w:szCs w:val="24"/>
              </w:rPr>
            </w:pPr>
          </w:p>
        </w:tc>
        <w:tc>
          <w:tcPr>
            <w:tcW w:w="2291" w:type="dxa"/>
          </w:tcPr>
          <w:p w14:paraId="3DA84D15">
            <w:pPr>
              <w:spacing w:before="163" w:beforeLines="50" w:after="163" w:afterLines="50"/>
              <w:rPr>
                <w:rFonts w:ascii="宋体" w:hAnsi="宋体" w:eastAsia="宋体"/>
                <w:color w:val="000000"/>
                <w:szCs w:val="24"/>
              </w:rPr>
            </w:pPr>
          </w:p>
        </w:tc>
        <w:tc>
          <w:tcPr>
            <w:tcW w:w="3062" w:type="dxa"/>
          </w:tcPr>
          <w:p w14:paraId="1C3AA07F">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3B0E0CF">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7883E23">
            <w:pPr>
              <w:spacing w:before="163" w:beforeLines="50" w:after="163" w:afterLines="50"/>
              <w:rPr>
                <w:rFonts w:ascii="宋体" w:hAnsi="宋体" w:eastAsia="宋体"/>
                <w:color w:val="000000"/>
                <w:szCs w:val="24"/>
              </w:rPr>
            </w:pPr>
          </w:p>
        </w:tc>
      </w:tr>
      <w:tr w14:paraId="6AE131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4D1F9B8E">
            <w:pPr>
              <w:spacing w:before="163" w:beforeLines="50" w:after="163" w:afterLines="50"/>
              <w:rPr>
                <w:rFonts w:ascii="宋体" w:hAnsi="宋体" w:eastAsia="宋体"/>
                <w:color w:val="000000"/>
                <w:szCs w:val="24"/>
              </w:rPr>
            </w:pPr>
          </w:p>
        </w:tc>
        <w:tc>
          <w:tcPr>
            <w:tcW w:w="2291" w:type="dxa"/>
          </w:tcPr>
          <w:p w14:paraId="56779AEA">
            <w:pPr>
              <w:spacing w:before="163" w:beforeLines="50" w:after="163" w:afterLines="50"/>
              <w:rPr>
                <w:rFonts w:ascii="宋体" w:hAnsi="宋体" w:eastAsia="宋体"/>
                <w:color w:val="000000"/>
                <w:szCs w:val="24"/>
              </w:rPr>
            </w:pPr>
          </w:p>
        </w:tc>
        <w:tc>
          <w:tcPr>
            <w:tcW w:w="2291" w:type="dxa"/>
          </w:tcPr>
          <w:p w14:paraId="440B6B40">
            <w:pPr>
              <w:spacing w:before="163" w:beforeLines="50" w:after="163" w:afterLines="50"/>
              <w:rPr>
                <w:rFonts w:ascii="宋体" w:hAnsi="宋体" w:eastAsia="宋体"/>
                <w:color w:val="000000"/>
                <w:szCs w:val="24"/>
              </w:rPr>
            </w:pPr>
          </w:p>
        </w:tc>
        <w:tc>
          <w:tcPr>
            <w:tcW w:w="3062" w:type="dxa"/>
          </w:tcPr>
          <w:p w14:paraId="0FFD7DB6">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3A9230D">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53AD207">
            <w:pPr>
              <w:spacing w:before="163" w:beforeLines="50" w:after="163" w:afterLines="50"/>
              <w:rPr>
                <w:rFonts w:ascii="宋体" w:hAnsi="宋体" w:eastAsia="宋体"/>
                <w:color w:val="000000"/>
                <w:szCs w:val="24"/>
              </w:rPr>
            </w:pPr>
          </w:p>
        </w:tc>
      </w:tr>
      <w:tr w14:paraId="5D8DD5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94754D8">
            <w:pPr>
              <w:spacing w:before="163" w:beforeLines="50" w:after="163" w:afterLines="50"/>
              <w:rPr>
                <w:rFonts w:ascii="宋体" w:hAnsi="宋体" w:eastAsia="宋体"/>
                <w:color w:val="000000"/>
                <w:szCs w:val="24"/>
              </w:rPr>
            </w:pPr>
          </w:p>
        </w:tc>
        <w:tc>
          <w:tcPr>
            <w:tcW w:w="2291" w:type="dxa"/>
          </w:tcPr>
          <w:p w14:paraId="6C6065F6">
            <w:pPr>
              <w:spacing w:before="163" w:beforeLines="50" w:after="163" w:afterLines="50"/>
              <w:rPr>
                <w:rFonts w:ascii="宋体" w:hAnsi="宋体" w:eastAsia="宋体"/>
                <w:color w:val="000000"/>
                <w:szCs w:val="24"/>
              </w:rPr>
            </w:pPr>
          </w:p>
        </w:tc>
        <w:tc>
          <w:tcPr>
            <w:tcW w:w="2291" w:type="dxa"/>
          </w:tcPr>
          <w:p w14:paraId="5DA5AE48">
            <w:pPr>
              <w:spacing w:before="163" w:beforeLines="50" w:after="163" w:afterLines="50"/>
              <w:rPr>
                <w:rFonts w:ascii="宋体" w:hAnsi="宋体" w:eastAsia="宋体"/>
                <w:color w:val="000000"/>
                <w:szCs w:val="24"/>
              </w:rPr>
            </w:pPr>
          </w:p>
        </w:tc>
        <w:tc>
          <w:tcPr>
            <w:tcW w:w="3062" w:type="dxa"/>
          </w:tcPr>
          <w:p w14:paraId="65363B01">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6F46BA1">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1B4CA71">
            <w:pPr>
              <w:spacing w:before="163" w:beforeLines="50" w:after="163" w:afterLines="50"/>
              <w:rPr>
                <w:rFonts w:ascii="宋体" w:hAnsi="宋体" w:eastAsia="宋体"/>
                <w:color w:val="000000"/>
                <w:szCs w:val="24"/>
              </w:rPr>
            </w:pPr>
          </w:p>
        </w:tc>
      </w:tr>
      <w:tr w14:paraId="42D7F9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6BEE13B">
            <w:pPr>
              <w:spacing w:before="163" w:beforeLines="50" w:after="163" w:afterLines="50"/>
              <w:rPr>
                <w:rFonts w:ascii="宋体" w:hAnsi="宋体" w:eastAsia="宋体"/>
                <w:color w:val="000000"/>
                <w:szCs w:val="24"/>
              </w:rPr>
            </w:pPr>
          </w:p>
        </w:tc>
        <w:tc>
          <w:tcPr>
            <w:tcW w:w="2291" w:type="dxa"/>
          </w:tcPr>
          <w:p w14:paraId="5F016314">
            <w:pPr>
              <w:spacing w:before="163" w:beforeLines="50" w:after="163" w:afterLines="50"/>
              <w:rPr>
                <w:rFonts w:ascii="宋体" w:hAnsi="宋体" w:eastAsia="宋体"/>
                <w:color w:val="000000"/>
                <w:szCs w:val="24"/>
              </w:rPr>
            </w:pPr>
          </w:p>
        </w:tc>
        <w:tc>
          <w:tcPr>
            <w:tcW w:w="2291" w:type="dxa"/>
          </w:tcPr>
          <w:p w14:paraId="510882BA">
            <w:pPr>
              <w:spacing w:before="163" w:beforeLines="50" w:after="163" w:afterLines="50"/>
              <w:rPr>
                <w:rFonts w:ascii="宋体" w:hAnsi="宋体" w:eastAsia="宋体"/>
                <w:color w:val="000000"/>
                <w:szCs w:val="24"/>
              </w:rPr>
            </w:pPr>
          </w:p>
        </w:tc>
        <w:tc>
          <w:tcPr>
            <w:tcW w:w="3062" w:type="dxa"/>
          </w:tcPr>
          <w:p w14:paraId="66860914">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8431428">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ECFED7">
            <w:pPr>
              <w:spacing w:before="163" w:beforeLines="50" w:after="163" w:afterLines="50"/>
              <w:rPr>
                <w:rFonts w:ascii="宋体" w:hAnsi="宋体" w:eastAsia="宋体"/>
                <w:color w:val="000000"/>
                <w:szCs w:val="24"/>
              </w:rPr>
            </w:pPr>
          </w:p>
        </w:tc>
      </w:tr>
    </w:tbl>
    <w:p w14:paraId="5219B75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5E97486E">
      <w:pPr>
        <w:snapToGrid w:val="0"/>
        <w:spacing w:line="580" w:lineRule="exact"/>
        <w:jc w:val="left"/>
        <w:rPr>
          <w:rFonts w:ascii="宋体" w:hAnsi="宋体" w:eastAsia="宋体"/>
          <w:szCs w:val="24"/>
        </w:rPr>
      </w:pPr>
    </w:p>
    <w:p w14:paraId="00AF5007">
      <w:pPr>
        <w:snapToGrid w:val="0"/>
        <w:spacing w:line="580" w:lineRule="exact"/>
        <w:jc w:val="left"/>
        <w:rPr>
          <w:rFonts w:ascii="宋体" w:hAnsi="宋体" w:eastAsia="宋体"/>
          <w:szCs w:val="24"/>
        </w:rPr>
      </w:pPr>
    </w:p>
    <w:p w14:paraId="0680781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73A7A402">
      <w:pPr>
        <w:rPr>
          <w:rFonts w:ascii="宋体" w:hAnsi="宋体" w:eastAsia="宋体"/>
          <w:szCs w:val="24"/>
        </w:rPr>
      </w:pPr>
      <w:bookmarkStart w:id="75" w:name="_Toc176085646"/>
      <w:bookmarkStart w:id="76" w:name="_Toc174521077"/>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2FCC2C0B">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p>
    <w:p w14:paraId="6B1537F9">
      <w:pPr>
        <w:jc w:val="center"/>
        <w:rPr>
          <w:rFonts w:ascii="宋体" w:hAnsi="宋体" w:eastAsia="宋体"/>
          <w:szCs w:val="24"/>
        </w:rPr>
      </w:pPr>
    </w:p>
    <w:p w14:paraId="1076ADEE">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0EA8E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2AE3CFC">
            <w:pPr>
              <w:rPr>
                <w:rFonts w:ascii="宋体" w:hAnsi="宋体" w:eastAsia="宋体"/>
                <w:szCs w:val="24"/>
              </w:rPr>
            </w:pPr>
            <w:r>
              <w:rPr>
                <w:rFonts w:hint="eastAsia" w:ascii="宋体" w:hAnsi="宋体" w:eastAsia="宋体"/>
                <w:szCs w:val="24"/>
              </w:rPr>
              <w:t>业主名称</w:t>
            </w:r>
          </w:p>
        </w:tc>
        <w:tc>
          <w:tcPr>
            <w:tcW w:w="1603" w:type="dxa"/>
            <w:vAlign w:val="center"/>
          </w:tcPr>
          <w:p w14:paraId="437C661B">
            <w:pPr>
              <w:rPr>
                <w:rFonts w:ascii="宋体" w:hAnsi="宋体" w:eastAsia="宋体"/>
                <w:szCs w:val="24"/>
              </w:rPr>
            </w:pPr>
            <w:r>
              <w:rPr>
                <w:rFonts w:hint="eastAsia" w:ascii="宋体" w:hAnsi="宋体" w:eastAsia="宋体"/>
                <w:szCs w:val="24"/>
              </w:rPr>
              <w:t>联系人</w:t>
            </w:r>
          </w:p>
          <w:p w14:paraId="2E057CE2">
            <w:pPr>
              <w:rPr>
                <w:rFonts w:ascii="宋体" w:hAnsi="宋体" w:eastAsia="宋体"/>
                <w:szCs w:val="24"/>
              </w:rPr>
            </w:pPr>
            <w:r>
              <w:rPr>
                <w:rFonts w:hint="eastAsia" w:ascii="宋体" w:hAnsi="宋体" w:eastAsia="宋体"/>
                <w:szCs w:val="24"/>
              </w:rPr>
              <w:t>手机</w:t>
            </w:r>
          </w:p>
        </w:tc>
        <w:tc>
          <w:tcPr>
            <w:tcW w:w="2965" w:type="dxa"/>
            <w:vAlign w:val="center"/>
          </w:tcPr>
          <w:p w14:paraId="1CDB7617">
            <w:pPr>
              <w:rPr>
                <w:rFonts w:ascii="宋体" w:hAnsi="宋体" w:eastAsia="宋体"/>
                <w:szCs w:val="24"/>
              </w:rPr>
            </w:pPr>
            <w:r>
              <w:rPr>
                <w:rFonts w:hint="eastAsia" w:ascii="宋体" w:hAnsi="宋体" w:eastAsia="宋体"/>
                <w:szCs w:val="24"/>
              </w:rPr>
              <w:t>项目名称</w:t>
            </w:r>
          </w:p>
          <w:p w14:paraId="7B9B0E6D">
            <w:pPr>
              <w:rPr>
                <w:rFonts w:ascii="宋体" w:hAnsi="宋体" w:eastAsia="宋体"/>
                <w:szCs w:val="24"/>
              </w:rPr>
            </w:pPr>
            <w:r>
              <w:rPr>
                <w:rFonts w:hint="eastAsia" w:ascii="宋体" w:hAnsi="宋体" w:eastAsia="宋体"/>
                <w:szCs w:val="24"/>
              </w:rPr>
              <w:t>项目性质规模</w:t>
            </w:r>
          </w:p>
        </w:tc>
        <w:tc>
          <w:tcPr>
            <w:tcW w:w="1701" w:type="dxa"/>
            <w:vAlign w:val="center"/>
          </w:tcPr>
          <w:p w14:paraId="58A7DEDF">
            <w:pPr>
              <w:rPr>
                <w:rFonts w:ascii="宋体" w:hAnsi="宋体" w:eastAsia="宋体"/>
                <w:szCs w:val="24"/>
              </w:rPr>
            </w:pPr>
            <w:r>
              <w:rPr>
                <w:rFonts w:hint="eastAsia" w:ascii="宋体" w:hAnsi="宋体" w:eastAsia="宋体"/>
                <w:szCs w:val="24"/>
              </w:rPr>
              <w:t>设备型号规格</w:t>
            </w:r>
          </w:p>
        </w:tc>
        <w:tc>
          <w:tcPr>
            <w:tcW w:w="567" w:type="dxa"/>
            <w:vAlign w:val="center"/>
          </w:tcPr>
          <w:p w14:paraId="281AC89A">
            <w:pPr>
              <w:rPr>
                <w:rFonts w:ascii="宋体" w:hAnsi="宋体" w:eastAsia="宋体"/>
                <w:szCs w:val="24"/>
              </w:rPr>
            </w:pPr>
            <w:r>
              <w:rPr>
                <w:rFonts w:hint="eastAsia" w:ascii="宋体" w:hAnsi="宋体" w:eastAsia="宋体"/>
                <w:szCs w:val="24"/>
              </w:rPr>
              <w:t>数量</w:t>
            </w:r>
          </w:p>
        </w:tc>
        <w:tc>
          <w:tcPr>
            <w:tcW w:w="1275" w:type="dxa"/>
            <w:vAlign w:val="center"/>
          </w:tcPr>
          <w:p w14:paraId="71A481EF">
            <w:pPr>
              <w:rPr>
                <w:rFonts w:ascii="宋体" w:hAnsi="宋体" w:eastAsia="宋体"/>
                <w:szCs w:val="24"/>
              </w:rPr>
            </w:pPr>
            <w:r>
              <w:rPr>
                <w:rFonts w:hint="eastAsia" w:ascii="宋体" w:hAnsi="宋体" w:eastAsia="宋体"/>
                <w:szCs w:val="24"/>
              </w:rPr>
              <w:t>签订时间</w:t>
            </w:r>
          </w:p>
        </w:tc>
        <w:tc>
          <w:tcPr>
            <w:tcW w:w="1134" w:type="dxa"/>
            <w:vAlign w:val="center"/>
          </w:tcPr>
          <w:p w14:paraId="4316B62C">
            <w:pPr>
              <w:rPr>
                <w:rFonts w:ascii="宋体" w:hAnsi="宋体" w:eastAsia="宋体"/>
                <w:szCs w:val="24"/>
              </w:rPr>
            </w:pPr>
            <w:r>
              <w:rPr>
                <w:rFonts w:hint="eastAsia" w:ascii="宋体" w:hAnsi="宋体" w:eastAsia="宋体"/>
                <w:szCs w:val="24"/>
              </w:rPr>
              <w:t>投入使用时间</w:t>
            </w:r>
          </w:p>
        </w:tc>
        <w:tc>
          <w:tcPr>
            <w:tcW w:w="2552" w:type="dxa"/>
            <w:vAlign w:val="center"/>
          </w:tcPr>
          <w:p w14:paraId="59F4504C">
            <w:pPr>
              <w:rPr>
                <w:rFonts w:ascii="宋体" w:hAnsi="宋体" w:eastAsia="宋体"/>
                <w:szCs w:val="24"/>
              </w:rPr>
            </w:pPr>
            <w:r>
              <w:rPr>
                <w:rFonts w:hint="eastAsia" w:ascii="宋体" w:hAnsi="宋体" w:eastAsia="宋体"/>
                <w:szCs w:val="24"/>
              </w:rPr>
              <w:t>运行情况</w:t>
            </w:r>
          </w:p>
        </w:tc>
      </w:tr>
      <w:tr w14:paraId="569A9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43D29A">
            <w:pPr>
              <w:rPr>
                <w:rFonts w:ascii="宋体" w:hAnsi="宋体" w:eastAsia="宋体"/>
                <w:szCs w:val="24"/>
              </w:rPr>
            </w:pPr>
          </w:p>
        </w:tc>
        <w:tc>
          <w:tcPr>
            <w:tcW w:w="1603" w:type="dxa"/>
          </w:tcPr>
          <w:p w14:paraId="717E8CCC">
            <w:pPr>
              <w:rPr>
                <w:rFonts w:ascii="宋体" w:hAnsi="宋体" w:eastAsia="宋体"/>
                <w:szCs w:val="24"/>
              </w:rPr>
            </w:pPr>
          </w:p>
        </w:tc>
        <w:tc>
          <w:tcPr>
            <w:tcW w:w="2965" w:type="dxa"/>
          </w:tcPr>
          <w:p w14:paraId="431D3A7C">
            <w:pPr>
              <w:rPr>
                <w:rFonts w:ascii="宋体" w:hAnsi="宋体" w:eastAsia="宋体"/>
                <w:szCs w:val="24"/>
              </w:rPr>
            </w:pPr>
          </w:p>
        </w:tc>
        <w:tc>
          <w:tcPr>
            <w:tcW w:w="1701" w:type="dxa"/>
          </w:tcPr>
          <w:p w14:paraId="76C9F3B1">
            <w:pPr>
              <w:rPr>
                <w:rFonts w:ascii="宋体" w:hAnsi="宋体" w:eastAsia="宋体"/>
                <w:szCs w:val="24"/>
              </w:rPr>
            </w:pPr>
          </w:p>
        </w:tc>
        <w:tc>
          <w:tcPr>
            <w:tcW w:w="567" w:type="dxa"/>
          </w:tcPr>
          <w:p w14:paraId="24DA8A30">
            <w:pPr>
              <w:rPr>
                <w:rFonts w:ascii="宋体" w:hAnsi="宋体" w:eastAsia="宋体"/>
                <w:szCs w:val="24"/>
              </w:rPr>
            </w:pPr>
          </w:p>
        </w:tc>
        <w:tc>
          <w:tcPr>
            <w:tcW w:w="1275" w:type="dxa"/>
          </w:tcPr>
          <w:p w14:paraId="665CB74D">
            <w:pPr>
              <w:rPr>
                <w:rFonts w:ascii="宋体" w:hAnsi="宋体" w:eastAsia="宋体"/>
                <w:szCs w:val="24"/>
              </w:rPr>
            </w:pPr>
          </w:p>
        </w:tc>
        <w:tc>
          <w:tcPr>
            <w:tcW w:w="1134" w:type="dxa"/>
          </w:tcPr>
          <w:p w14:paraId="3A800035">
            <w:pPr>
              <w:rPr>
                <w:rFonts w:ascii="宋体" w:hAnsi="宋体" w:eastAsia="宋体"/>
                <w:szCs w:val="24"/>
              </w:rPr>
            </w:pPr>
          </w:p>
        </w:tc>
        <w:tc>
          <w:tcPr>
            <w:tcW w:w="2552" w:type="dxa"/>
          </w:tcPr>
          <w:p w14:paraId="566F78CE">
            <w:pPr>
              <w:rPr>
                <w:rFonts w:ascii="宋体" w:hAnsi="宋体" w:eastAsia="宋体"/>
                <w:szCs w:val="24"/>
              </w:rPr>
            </w:pPr>
          </w:p>
        </w:tc>
      </w:tr>
      <w:tr w14:paraId="78A01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D01D21">
            <w:pPr>
              <w:rPr>
                <w:rFonts w:ascii="宋体" w:hAnsi="宋体" w:eastAsia="宋体"/>
                <w:szCs w:val="24"/>
              </w:rPr>
            </w:pPr>
          </w:p>
        </w:tc>
        <w:tc>
          <w:tcPr>
            <w:tcW w:w="1603" w:type="dxa"/>
          </w:tcPr>
          <w:p w14:paraId="2A1D7CD8">
            <w:pPr>
              <w:rPr>
                <w:rFonts w:ascii="宋体" w:hAnsi="宋体" w:eastAsia="宋体"/>
                <w:szCs w:val="24"/>
              </w:rPr>
            </w:pPr>
          </w:p>
        </w:tc>
        <w:tc>
          <w:tcPr>
            <w:tcW w:w="2965" w:type="dxa"/>
          </w:tcPr>
          <w:p w14:paraId="64BC5D8B">
            <w:pPr>
              <w:rPr>
                <w:rFonts w:ascii="宋体" w:hAnsi="宋体" w:eastAsia="宋体"/>
                <w:szCs w:val="24"/>
              </w:rPr>
            </w:pPr>
          </w:p>
        </w:tc>
        <w:tc>
          <w:tcPr>
            <w:tcW w:w="1701" w:type="dxa"/>
          </w:tcPr>
          <w:p w14:paraId="21A8D980">
            <w:pPr>
              <w:rPr>
                <w:rFonts w:ascii="宋体" w:hAnsi="宋体" w:eastAsia="宋体"/>
                <w:szCs w:val="24"/>
              </w:rPr>
            </w:pPr>
          </w:p>
        </w:tc>
        <w:tc>
          <w:tcPr>
            <w:tcW w:w="567" w:type="dxa"/>
          </w:tcPr>
          <w:p w14:paraId="74C9499F">
            <w:pPr>
              <w:rPr>
                <w:rFonts w:ascii="宋体" w:hAnsi="宋体" w:eastAsia="宋体"/>
                <w:szCs w:val="24"/>
              </w:rPr>
            </w:pPr>
          </w:p>
        </w:tc>
        <w:tc>
          <w:tcPr>
            <w:tcW w:w="1275" w:type="dxa"/>
          </w:tcPr>
          <w:p w14:paraId="64239A35">
            <w:pPr>
              <w:rPr>
                <w:rFonts w:ascii="宋体" w:hAnsi="宋体" w:eastAsia="宋体"/>
                <w:szCs w:val="24"/>
              </w:rPr>
            </w:pPr>
          </w:p>
        </w:tc>
        <w:tc>
          <w:tcPr>
            <w:tcW w:w="1134" w:type="dxa"/>
          </w:tcPr>
          <w:p w14:paraId="0BADF971">
            <w:pPr>
              <w:rPr>
                <w:rFonts w:ascii="宋体" w:hAnsi="宋体" w:eastAsia="宋体"/>
                <w:szCs w:val="24"/>
              </w:rPr>
            </w:pPr>
          </w:p>
        </w:tc>
        <w:tc>
          <w:tcPr>
            <w:tcW w:w="2552" w:type="dxa"/>
          </w:tcPr>
          <w:p w14:paraId="0FAB1027">
            <w:pPr>
              <w:rPr>
                <w:rFonts w:ascii="宋体" w:hAnsi="宋体" w:eastAsia="宋体"/>
                <w:szCs w:val="24"/>
              </w:rPr>
            </w:pPr>
          </w:p>
        </w:tc>
      </w:tr>
      <w:tr w14:paraId="241B2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9A67C77">
            <w:pPr>
              <w:rPr>
                <w:rFonts w:ascii="宋体" w:hAnsi="宋体" w:eastAsia="宋体"/>
                <w:szCs w:val="24"/>
              </w:rPr>
            </w:pPr>
          </w:p>
        </w:tc>
        <w:tc>
          <w:tcPr>
            <w:tcW w:w="1603" w:type="dxa"/>
          </w:tcPr>
          <w:p w14:paraId="377753A9">
            <w:pPr>
              <w:rPr>
                <w:rFonts w:ascii="宋体" w:hAnsi="宋体" w:eastAsia="宋体"/>
                <w:szCs w:val="24"/>
              </w:rPr>
            </w:pPr>
          </w:p>
        </w:tc>
        <w:tc>
          <w:tcPr>
            <w:tcW w:w="2965" w:type="dxa"/>
          </w:tcPr>
          <w:p w14:paraId="207326BB">
            <w:pPr>
              <w:rPr>
                <w:rFonts w:ascii="宋体" w:hAnsi="宋体" w:eastAsia="宋体"/>
                <w:szCs w:val="24"/>
              </w:rPr>
            </w:pPr>
          </w:p>
        </w:tc>
        <w:tc>
          <w:tcPr>
            <w:tcW w:w="1701" w:type="dxa"/>
          </w:tcPr>
          <w:p w14:paraId="779C9263">
            <w:pPr>
              <w:rPr>
                <w:rFonts w:ascii="宋体" w:hAnsi="宋体" w:eastAsia="宋体"/>
                <w:szCs w:val="24"/>
              </w:rPr>
            </w:pPr>
          </w:p>
        </w:tc>
        <w:tc>
          <w:tcPr>
            <w:tcW w:w="567" w:type="dxa"/>
          </w:tcPr>
          <w:p w14:paraId="49184422">
            <w:pPr>
              <w:rPr>
                <w:rFonts w:ascii="宋体" w:hAnsi="宋体" w:eastAsia="宋体"/>
                <w:szCs w:val="24"/>
              </w:rPr>
            </w:pPr>
          </w:p>
        </w:tc>
        <w:tc>
          <w:tcPr>
            <w:tcW w:w="1275" w:type="dxa"/>
          </w:tcPr>
          <w:p w14:paraId="6E0688A4">
            <w:pPr>
              <w:rPr>
                <w:rFonts w:ascii="宋体" w:hAnsi="宋体" w:eastAsia="宋体"/>
                <w:szCs w:val="24"/>
              </w:rPr>
            </w:pPr>
          </w:p>
        </w:tc>
        <w:tc>
          <w:tcPr>
            <w:tcW w:w="1134" w:type="dxa"/>
          </w:tcPr>
          <w:p w14:paraId="63997F8F">
            <w:pPr>
              <w:rPr>
                <w:rFonts w:ascii="宋体" w:hAnsi="宋体" w:eastAsia="宋体"/>
                <w:szCs w:val="24"/>
              </w:rPr>
            </w:pPr>
          </w:p>
        </w:tc>
        <w:tc>
          <w:tcPr>
            <w:tcW w:w="2552" w:type="dxa"/>
          </w:tcPr>
          <w:p w14:paraId="025FC324">
            <w:pPr>
              <w:rPr>
                <w:rFonts w:ascii="宋体" w:hAnsi="宋体" w:eastAsia="宋体"/>
                <w:szCs w:val="24"/>
              </w:rPr>
            </w:pPr>
          </w:p>
        </w:tc>
      </w:tr>
      <w:tr w14:paraId="6E374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F87AB0">
            <w:pPr>
              <w:rPr>
                <w:rFonts w:ascii="宋体" w:hAnsi="宋体" w:eastAsia="宋体"/>
                <w:szCs w:val="24"/>
              </w:rPr>
            </w:pPr>
          </w:p>
        </w:tc>
        <w:tc>
          <w:tcPr>
            <w:tcW w:w="1603" w:type="dxa"/>
          </w:tcPr>
          <w:p w14:paraId="27E800C1">
            <w:pPr>
              <w:rPr>
                <w:rFonts w:ascii="宋体" w:hAnsi="宋体" w:eastAsia="宋体"/>
                <w:szCs w:val="24"/>
              </w:rPr>
            </w:pPr>
          </w:p>
        </w:tc>
        <w:tc>
          <w:tcPr>
            <w:tcW w:w="2965" w:type="dxa"/>
          </w:tcPr>
          <w:p w14:paraId="32627A6E">
            <w:pPr>
              <w:rPr>
                <w:rFonts w:ascii="宋体" w:hAnsi="宋体" w:eastAsia="宋体"/>
                <w:szCs w:val="24"/>
              </w:rPr>
            </w:pPr>
          </w:p>
        </w:tc>
        <w:tc>
          <w:tcPr>
            <w:tcW w:w="1701" w:type="dxa"/>
          </w:tcPr>
          <w:p w14:paraId="3E8A08B1">
            <w:pPr>
              <w:rPr>
                <w:rFonts w:ascii="宋体" w:hAnsi="宋体" w:eastAsia="宋体"/>
                <w:szCs w:val="24"/>
              </w:rPr>
            </w:pPr>
          </w:p>
        </w:tc>
        <w:tc>
          <w:tcPr>
            <w:tcW w:w="567" w:type="dxa"/>
          </w:tcPr>
          <w:p w14:paraId="5218D09F">
            <w:pPr>
              <w:rPr>
                <w:rFonts w:ascii="宋体" w:hAnsi="宋体" w:eastAsia="宋体"/>
                <w:szCs w:val="24"/>
              </w:rPr>
            </w:pPr>
          </w:p>
        </w:tc>
        <w:tc>
          <w:tcPr>
            <w:tcW w:w="1275" w:type="dxa"/>
          </w:tcPr>
          <w:p w14:paraId="09187D7A">
            <w:pPr>
              <w:rPr>
                <w:rFonts w:ascii="宋体" w:hAnsi="宋体" w:eastAsia="宋体"/>
                <w:szCs w:val="24"/>
              </w:rPr>
            </w:pPr>
          </w:p>
        </w:tc>
        <w:tc>
          <w:tcPr>
            <w:tcW w:w="1134" w:type="dxa"/>
          </w:tcPr>
          <w:p w14:paraId="173767D2">
            <w:pPr>
              <w:rPr>
                <w:rFonts w:ascii="宋体" w:hAnsi="宋体" w:eastAsia="宋体"/>
                <w:szCs w:val="24"/>
              </w:rPr>
            </w:pPr>
          </w:p>
        </w:tc>
        <w:tc>
          <w:tcPr>
            <w:tcW w:w="2552" w:type="dxa"/>
          </w:tcPr>
          <w:p w14:paraId="5BF468EE">
            <w:pPr>
              <w:rPr>
                <w:rFonts w:ascii="宋体" w:hAnsi="宋体" w:eastAsia="宋体"/>
                <w:szCs w:val="24"/>
              </w:rPr>
            </w:pPr>
          </w:p>
        </w:tc>
      </w:tr>
      <w:tr w14:paraId="50EB9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8757B50">
            <w:pPr>
              <w:rPr>
                <w:rFonts w:ascii="宋体" w:hAnsi="宋体" w:eastAsia="宋体"/>
                <w:szCs w:val="24"/>
              </w:rPr>
            </w:pPr>
          </w:p>
        </w:tc>
        <w:tc>
          <w:tcPr>
            <w:tcW w:w="1603" w:type="dxa"/>
          </w:tcPr>
          <w:p w14:paraId="6C4B6C90">
            <w:pPr>
              <w:rPr>
                <w:rFonts w:ascii="宋体" w:hAnsi="宋体" w:eastAsia="宋体"/>
                <w:szCs w:val="24"/>
              </w:rPr>
            </w:pPr>
          </w:p>
        </w:tc>
        <w:tc>
          <w:tcPr>
            <w:tcW w:w="2965" w:type="dxa"/>
          </w:tcPr>
          <w:p w14:paraId="625211B4">
            <w:pPr>
              <w:rPr>
                <w:rFonts w:ascii="宋体" w:hAnsi="宋体" w:eastAsia="宋体"/>
                <w:szCs w:val="24"/>
              </w:rPr>
            </w:pPr>
          </w:p>
        </w:tc>
        <w:tc>
          <w:tcPr>
            <w:tcW w:w="1701" w:type="dxa"/>
          </w:tcPr>
          <w:p w14:paraId="3C4C8584">
            <w:pPr>
              <w:rPr>
                <w:rFonts w:ascii="宋体" w:hAnsi="宋体" w:eastAsia="宋体"/>
                <w:szCs w:val="24"/>
              </w:rPr>
            </w:pPr>
          </w:p>
        </w:tc>
        <w:tc>
          <w:tcPr>
            <w:tcW w:w="567" w:type="dxa"/>
          </w:tcPr>
          <w:p w14:paraId="3E3A46EA">
            <w:pPr>
              <w:rPr>
                <w:rFonts w:ascii="宋体" w:hAnsi="宋体" w:eastAsia="宋体"/>
                <w:szCs w:val="24"/>
              </w:rPr>
            </w:pPr>
          </w:p>
        </w:tc>
        <w:tc>
          <w:tcPr>
            <w:tcW w:w="1275" w:type="dxa"/>
          </w:tcPr>
          <w:p w14:paraId="1BA0479A">
            <w:pPr>
              <w:rPr>
                <w:rFonts w:ascii="宋体" w:hAnsi="宋体" w:eastAsia="宋体"/>
                <w:szCs w:val="24"/>
              </w:rPr>
            </w:pPr>
          </w:p>
        </w:tc>
        <w:tc>
          <w:tcPr>
            <w:tcW w:w="1134" w:type="dxa"/>
          </w:tcPr>
          <w:p w14:paraId="1DE86A9D">
            <w:pPr>
              <w:rPr>
                <w:rFonts w:ascii="宋体" w:hAnsi="宋体" w:eastAsia="宋体"/>
                <w:szCs w:val="24"/>
              </w:rPr>
            </w:pPr>
          </w:p>
        </w:tc>
        <w:tc>
          <w:tcPr>
            <w:tcW w:w="2552" w:type="dxa"/>
          </w:tcPr>
          <w:p w14:paraId="1E5E4880">
            <w:pPr>
              <w:rPr>
                <w:rFonts w:ascii="宋体" w:hAnsi="宋体" w:eastAsia="宋体"/>
                <w:szCs w:val="24"/>
              </w:rPr>
            </w:pPr>
          </w:p>
        </w:tc>
      </w:tr>
    </w:tbl>
    <w:p w14:paraId="1CA4D563">
      <w:pPr>
        <w:jc w:val="center"/>
        <w:rPr>
          <w:rFonts w:ascii="宋体" w:hAnsi="宋体" w:eastAsia="宋体"/>
          <w:szCs w:val="24"/>
        </w:rPr>
      </w:pPr>
    </w:p>
    <w:p w14:paraId="0DCA3C57">
      <w:pPr>
        <w:jc w:val="center"/>
        <w:rPr>
          <w:rFonts w:ascii="宋体" w:hAnsi="宋体" w:eastAsia="宋体"/>
          <w:szCs w:val="24"/>
        </w:rPr>
      </w:pPr>
    </w:p>
    <w:p w14:paraId="3A033285">
      <w:pPr>
        <w:jc w:val="center"/>
        <w:rPr>
          <w:rFonts w:ascii="宋体" w:hAnsi="宋体" w:eastAsia="宋体"/>
          <w:szCs w:val="24"/>
        </w:rPr>
      </w:pPr>
    </w:p>
    <w:p w14:paraId="0A2DBB5B">
      <w:pPr>
        <w:jc w:val="center"/>
        <w:rPr>
          <w:rFonts w:ascii="宋体" w:hAnsi="宋体" w:eastAsia="宋体"/>
          <w:szCs w:val="24"/>
        </w:rPr>
      </w:pPr>
    </w:p>
    <w:p w14:paraId="4FC8C835">
      <w:pPr>
        <w:jc w:val="center"/>
        <w:rPr>
          <w:rFonts w:ascii="宋体" w:hAnsi="宋体" w:eastAsia="宋体"/>
          <w:szCs w:val="24"/>
        </w:rPr>
      </w:pPr>
    </w:p>
    <w:p w14:paraId="66E4E114">
      <w:pPr>
        <w:jc w:val="center"/>
        <w:rPr>
          <w:rFonts w:ascii="宋体" w:hAnsi="宋体" w:eastAsia="宋体"/>
          <w:szCs w:val="24"/>
        </w:rPr>
      </w:pPr>
    </w:p>
    <w:p w14:paraId="5D834BD2">
      <w:pPr>
        <w:jc w:val="center"/>
        <w:rPr>
          <w:rFonts w:ascii="宋体" w:hAnsi="宋体" w:eastAsia="宋体"/>
          <w:szCs w:val="24"/>
        </w:rPr>
      </w:pPr>
    </w:p>
    <w:p w14:paraId="17395DE6">
      <w:pPr>
        <w:jc w:val="center"/>
        <w:rPr>
          <w:rFonts w:ascii="宋体" w:hAnsi="宋体" w:eastAsia="宋体"/>
          <w:szCs w:val="24"/>
        </w:rPr>
      </w:pPr>
    </w:p>
    <w:p w14:paraId="4BD402EA">
      <w:pPr>
        <w:jc w:val="center"/>
        <w:rPr>
          <w:rFonts w:ascii="宋体" w:hAnsi="宋体" w:eastAsia="宋体"/>
          <w:szCs w:val="24"/>
        </w:rPr>
      </w:pPr>
    </w:p>
    <w:p w14:paraId="355331FC">
      <w:pPr>
        <w:jc w:val="center"/>
        <w:rPr>
          <w:rFonts w:ascii="宋体" w:hAnsi="宋体" w:eastAsia="宋体"/>
          <w:szCs w:val="24"/>
        </w:rPr>
      </w:pPr>
      <w:r>
        <w:rPr>
          <w:rFonts w:hint="eastAsia" w:ascii="宋体" w:hAnsi="宋体" w:eastAsia="宋体"/>
          <w:szCs w:val="24"/>
        </w:rPr>
        <w:t xml:space="preserve">                投标单位：</w:t>
      </w:r>
    </w:p>
    <w:p w14:paraId="1971F1D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0929042">
      <w:pPr>
        <w:jc w:val="left"/>
        <w:rPr>
          <w:rFonts w:ascii="宋体" w:hAnsi="宋体" w:eastAsia="宋体"/>
          <w:szCs w:val="24"/>
        </w:rPr>
      </w:pPr>
    </w:p>
    <w:p w14:paraId="2F557C85">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34C45337">
      <w:pPr>
        <w:widowControl/>
        <w:rPr>
          <w:rFonts w:ascii="宋体" w:hAnsi="宋体" w:eastAsia="宋体" w:cs="宋体"/>
          <w:kern w:val="0"/>
          <w:szCs w:val="24"/>
        </w:rPr>
      </w:pPr>
    </w:p>
    <w:p w14:paraId="777EA6E9">
      <w:pPr>
        <w:widowControl/>
        <w:rPr>
          <w:rFonts w:ascii="宋体" w:hAnsi="宋体" w:eastAsia="宋体" w:cs="宋体"/>
          <w:kern w:val="0"/>
          <w:szCs w:val="24"/>
        </w:rPr>
      </w:pPr>
    </w:p>
    <w:p w14:paraId="7F4C5624">
      <w:pPr>
        <w:widowControl/>
        <w:rPr>
          <w:rFonts w:ascii="宋体" w:hAnsi="宋体" w:eastAsia="宋体" w:cs="宋体"/>
          <w:kern w:val="0"/>
          <w:szCs w:val="24"/>
        </w:rPr>
      </w:pPr>
    </w:p>
    <w:p w14:paraId="186F3866">
      <w:pPr>
        <w:widowControl/>
        <w:rPr>
          <w:rFonts w:ascii="宋体" w:hAnsi="宋体" w:eastAsia="宋体" w:cs="宋体"/>
          <w:kern w:val="0"/>
          <w:szCs w:val="24"/>
        </w:rPr>
      </w:pPr>
    </w:p>
    <w:p w14:paraId="6664EEE8">
      <w:pPr>
        <w:widowControl/>
        <w:rPr>
          <w:rFonts w:ascii="宋体" w:hAnsi="宋体" w:eastAsia="宋体" w:cs="宋体"/>
          <w:kern w:val="0"/>
          <w:szCs w:val="24"/>
        </w:rPr>
      </w:pPr>
    </w:p>
    <w:p w14:paraId="7F27A13B">
      <w:pPr>
        <w:pStyle w:val="90"/>
        <w:tabs>
          <w:tab w:val="clear" w:pos="2340"/>
        </w:tabs>
        <w:wordWrap w:val="0"/>
        <w:spacing w:line="240" w:lineRule="auto"/>
        <w:ind w:right="120"/>
        <w:jc w:val="right"/>
        <w:rPr>
          <w:rFonts w:hint="default" w:ascii="宋体" w:hAnsi="宋体" w:eastAsia="宋体"/>
          <w:b w:val="0"/>
          <w:sz w:val="24"/>
          <w:szCs w:val="24"/>
        </w:rPr>
      </w:pPr>
    </w:p>
    <w:p w14:paraId="0038179B">
      <w:pPr>
        <w:jc w:val="left"/>
        <w:rPr>
          <w:rFonts w:ascii="宋体" w:hAnsi="宋体" w:eastAsia="宋体"/>
          <w:szCs w:val="24"/>
        </w:rPr>
      </w:pPr>
    </w:p>
    <w:p w14:paraId="28084989">
      <w:pPr>
        <w:ind w:left="88"/>
        <w:rPr>
          <w:rFonts w:ascii="宋体" w:hAnsi="宋体" w:eastAsia="宋体"/>
          <w:bCs/>
          <w:color w:val="000000"/>
          <w:szCs w:val="24"/>
        </w:rPr>
      </w:pPr>
    </w:p>
    <w:p w14:paraId="3A2A8523">
      <w:pPr>
        <w:rPr>
          <w:rFonts w:ascii="宋体" w:hAnsi="宋体" w:eastAsia="宋体"/>
          <w:sz w:val="28"/>
          <w:szCs w:val="28"/>
        </w:rPr>
      </w:pPr>
    </w:p>
    <w:p w14:paraId="29A569F7">
      <w:pPr>
        <w:rPr>
          <w:rFonts w:ascii="宋体" w:hAnsi="宋体" w:eastAsia="宋体"/>
          <w:sz w:val="28"/>
          <w:szCs w:val="28"/>
        </w:rPr>
      </w:pPr>
    </w:p>
    <w:p w14:paraId="1493FBE6">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75"/>
    <w:bookmarkEnd w:id="76"/>
    <w:p w14:paraId="2A002003">
      <w:pPr>
        <w:jc w:val="center"/>
        <w:rPr>
          <w:rFonts w:hint="eastAsia" w:ascii="宋体" w:hAnsi="宋体" w:eastAsia="宋体"/>
          <w:sz w:val="44"/>
          <w:szCs w:val="44"/>
          <w:lang w:eastAsia="zh-CN"/>
        </w:rPr>
      </w:pPr>
      <w:r>
        <w:rPr>
          <w:rFonts w:hint="eastAsia" w:ascii="宋体" w:hAnsi="宋体" w:eastAsia="宋体"/>
          <w:sz w:val="44"/>
          <w:szCs w:val="44"/>
          <w:lang w:eastAsia="zh-CN"/>
        </w:rPr>
        <w:t>高州垃圾发电项目</w:t>
      </w:r>
    </w:p>
    <w:p w14:paraId="08034BBF">
      <w:pPr>
        <w:jc w:val="center"/>
        <w:rPr>
          <w:rFonts w:ascii="宋体" w:hAnsi="宋体" w:eastAsia="宋体"/>
          <w:sz w:val="44"/>
          <w:szCs w:val="44"/>
        </w:rPr>
      </w:pPr>
    </w:p>
    <w:p w14:paraId="6DCA1B97">
      <w:pPr>
        <w:jc w:val="center"/>
        <w:rPr>
          <w:rFonts w:ascii="宋体" w:hAnsi="宋体" w:eastAsia="宋体"/>
          <w:sz w:val="44"/>
          <w:szCs w:val="44"/>
        </w:rPr>
      </w:pPr>
    </w:p>
    <w:p w14:paraId="2A60F405">
      <w:pPr>
        <w:tabs>
          <w:tab w:val="left" w:pos="670"/>
          <w:tab w:val="center" w:pos="4252"/>
        </w:tabs>
        <w:jc w:val="center"/>
        <w:rPr>
          <w:rFonts w:hint="eastAsia" w:ascii="仿宋" w:hAnsi="仿宋" w:eastAsia="仿宋" w:cs="仿宋"/>
          <w:b/>
          <w:sz w:val="28"/>
          <w:szCs w:val="28"/>
        </w:rPr>
      </w:pPr>
      <w:r>
        <w:rPr>
          <w:rFonts w:hint="eastAsia" w:ascii="宋体" w:hAnsi="宋体" w:eastAsia="宋体"/>
          <w:sz w:val="44"/>
          <w:szCs w:val="44"/>
        </w:rPr>
        <w:t xml:space="preserve"> </w:t>
      </w:r>
      <w:r>
        <w:rPr>
          <w:rFonts w:hint="eastAsia" w:ascii="宋体" w:hAnsi="宋体" w:eastAsia="宋体" w:cs="Times New Roman"/>
          <w:sz w:val="44"/>
          <w:szCs w:val="44"/>
        </w:rPr>
        <w:t xml:space="preserve"> </w:t>
      </w:r>
      <w:r>
        <w:rPr>
          <w:rFonts w:hint="eastAsia" w:ascii="宋体" w:hAnsi="宋体" w:eastAsia="宋体" w:cs="Times New Roman"/>
          <w:sz w:val="44"/>
          <w:szCs w:val="44"/>
          <w:lang w:eastAsia="zh-CN"/>
        </w:rPr>
        <w:t>尿素</w:t>
      </w:r>
      <w:r>
        <w:rPr>
          <w:rFonts w:hint="eastAsia" w:ascii="宋体" w:hAnsi="宋体" w:eastAsia="宋体" w:cs="Times New Roman"/>
          <w:sz w:val="44"/>
          <w:szCs w:val="44"/>
        </w:rPr>
        <w:t>技术文件</w:t>
      </w:r>
    </w:p>
    <w:p w14:paraId="1BB34774">
      <w:pPr>
        <w:spacing w:line="360" w:lineRule="auto"/>
        <w:jc w:val="center"/>
        <w:rPr>
          <w:rFonts w:ascii="宋体" w:hAnsi="宋体" w:eastAsia="宋体"/>
          <w:bCs/>
          <w:sz w:val="84"/>
          <w:szCs w:val="84"/>
        </w:rPr>
      </w:pPr>
    </w:p>
    <w:p w14:paraId="0B8DB735">
      <w:pPr>
        <w:spacing w:line="360" w:lineRule="auto"/>
        <w:jc w:val="center"/>
        <w:rPr>
          <w:rFonts w:ascii="宋体" w:hAnsi="宋体" w:eastAsia="宋体"/>
          <w:bCs/>
          <w:sz w:val="84"/>
          <w:szCs w:val="84"/>
        </w:rPr>
      </w:pPr>
    </w:p>
    <w:p w14:paraId="1296C80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37C83F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rPr>
        <w:t>ITB-</w:t>
      </w:r>
      <w:r>
        <w:rPr>
          <w:rFonts w:hint="eastAsia" w:ascii="宋体" w:hAnsi="宋体" w:eastAsia="宋体"/>
          <w:sz w:val="30"/>
          <w:szCs w:val="30"/>
          <w:lang w:eastAsia="zh-CN"/>
        </w:rPr>
        <w:t xml:space="preserve">LK-MMLK-ZB-JC2026-003 </w:t>
      </w:r>
      <w:r>
        <w:rPr>
          <w:rFonts w:hint="eastAsia" w:ascii="宋体" w:hAnsi="宋体" w:eastAsia="宋体"/>
          <w:sz w:val="30"/>
          <w:szCs w:val="30"/>
        </w:rPr>
        <w:t>）</w:t>
      </w:r>
    </w:p>
    <w:p w14:paraId="5E974D80">
      <w:pPr>
        <w:jc w:val="center"/>
        <w:rPr>
          <w:rFonts w:ascii="宋体" w:hAnsi="宋体" w:eastAsia="宋体"/>
          <w:sz w:val="28"/>
          <w:szCs w:val="28"/>
        </w:rPr>
      </w:pPr>
    </w:p>
    <w:p w14:paraId="02EF73FD">
      <w:pPr>
        <w:jc w:val="center"/>
        <w:rPr>
          <w:rFonts w:ascii="宋体" w:hAnsi="宋体" w:eastAsia="宋体"/>
          <w:sz w:val="28"/>
          <w:szCs w:val="28"/>
        </w:rPr>
      </w:pPr>
    </w:p>
    <w:p w14:paraId="1C5398FC">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170979B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EA6CD40">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682F801">
      <w:pPr>
        <w:spacing w:line="360" w:lineRule="auto"/>
        <w:jc w:val="center"/>
        <w:rPr>
          <w:rFonts w:ascii="宋体" w:hAnsi="宋体" w:eastAsia="宋体" w:cs="Arial"/>
          <w:bCs/>
          <w:sz w:val="28"/>
          <w:szCs w:val="28"/>
          <w:lang w:val="zh-CN"/>
        </w:rPr>
      </w:pPr>
    </w:p>
    <w:p w14:paraId="5B75996C">
      <w:pPr>
        <w:spacing w:line="360" w:lineRule="auto"/>
        <w:jc w:val="center"/>
        <w:rPr>
          <w:rFonts w:ascii="宋体" w:hAnsi="宋体" w:eastAsia="宋体" w:cs="Arial"/>
          <w:bCs/>
          <w:sz w:val="28"/>
          <w:szCs w:val="28"/>
          <w:lang w:val="zh-CN"/>
        </w:rPr>
      </w:pPr>
    </w:p>
    <w:p w14:paraId="5BE7D73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日期：2025年  月   日</w:t>
      </w:r>
    </w:p>
    <w:p w14:paraId="36956AC8">
      <w:pPr>
        <w:spacing w:line="360" w:lineRule="auto"/>
        <w:jc w:val="center"/>
        <w:rPr>
          <w:rFonts w:ascii="宋体" w:hAnsi="宋体" w:eastAsia="宋体"/>
          <w:sz w:val="28"/>
          <w:szCs w:val="28"/>
        </w:rPr>
      </w:pPr>
    </w:p>
    <w:p w14:paraId="5548F560">
      <w:pPr>
        <w:spacing w:line="360" w:lineRule="auto"/>
        <w:jc w:val="center"/>
        <w:rPr>
          <w:rFonts w:ascii="宋体" w:hAnsi="宋体" w:eastAsia="宋体"/>
          <w:sz w:val="28"/>
          <w:szCs w:val="28"/>
        </w:rPr>
      </w:pPr>
    </w:p>
    <w:p w14:paraId="35238FF2">
      <w:pPr>
        <w:widowControl/>
        <w:adjustRightInd w:val="0"/>
        <w:snapToGrid w:val="0"/>
        <w:jc w:val="center"/>
        <w:rPr>
          <w:rFonts w:ascii="宋体" w:hAnsi="宋体" w:eastAsia="宋体"/>
          <w:sz w:val="28"/>
          <w:szCs w:val="28"/>
        </w:rPr>
      </w:pPr>
    </w:p>
    <w:p w14:paraId="399494FB">
      <w:pPr>
        <w:pStyle w:val="2"/>
        <w:spacing w:before="163" w:beforeLines="50" w:after="163" w:afterLines="50"/>
        <w:rPr>
          <w:rFonts w:ascii="宋体" w:hAnsi="宋体" w:eastAsia="宋体"/>
          <w:b w:val="0"/>
          <w:color w:val="000000"/>
          <w:sz w:val="32"/>
          <w:szCs w:val="32"/>
        </w:rPr>
      </w:pPr>
      <w:bookmarkStart w:id="77"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77"/>
    </w:p>
    <w:p w14:paraId="456D1FA2">
      <w:pPr>
        <w:tabs>
          <w:tab w:val="left" w:pos="670"/>
          <w:tab w:val="center" w:pos="4252"/>
        </w:tabs>
        <w:jc w:val="center"/>
        <w:rPr>
          <w:rFonts w:hint="eastAsia" w:ascii="仿宋" w:hAnsi="仿宋" w:eastAsia="仿宋" w:cs="仿宋"/>
          <w:b/>
          <w:sz w:val="28"/>
          <w:szCs w:val="28"/>
        </w:rPr>
      </w:pPr>
    </w:p>
    <w:p w14:paraId="2044DEDB">
      <w:pPr>
        <w:snapToGrid w:val="0"/>
        <w:spacing w:line="480" w:lineRule="auto"/>
        <w:ind w:firstLine="3092" w:firstLineChars="1100"/>
        <w:rPr>
          <w:rFonts w:hint="eastAsia" w:ascii="仿宋" w:hAnsi="仿宋" w:eastAsia="仿宋" w:cs="仿宋"/>
          <w:b/>
          <w:bCs/>
          <w:sz w:val="28"/>
          <w:szCs w:val="28"/>
        </w:rPr>
      </w:pPr>
      <w:r>
        <w:rPr>
          <w:rFonts w:hint="eastAsia" w:ascii="仿宋" w:hAnsi="仿宋" w:eastAsia="仿宋" w:cs="仿宋"/>
          <w:b/>
          <w:bCs/>
          <w:sz w:val="28"/>
          <w:szCs w:val="28"/>
        </w:rPr>
        <w:t>采购数量与技术要求</w:t>
      </w:r>
    </w:p>
    <w:p w14:paraId="4A49982E">
      <w:pPr>
        <w:numPr>
          <w:ilvl w:val="0"/>
          <w:numId w:val="1"/>
        </w:numPr>
        <w:tabs>
          <w:tab w:val="left" w:pos="502"/>
          <w:tab w:val="left" w:pos="709"/>
        </w:tabs>
        <w:adjustRightInd w:val="0"/>
        <w:snapToGrid w:val="0"/>
        <w:spacing w:line="440" w:lineRule="exact"/>
        <w:rPr>
          <w:rFonts w:hint="eastAsia" w:ascii="仿宋" w:hAnsi="仿宋" w:eastAsia="仿宋" w:cs="仿宋"/>
          <w:b/>
          <w:bCs/>
          <w:sz w:val="28"/>
          <w:szCs w:val="28"/>
        </w:rPr>
      </w:pPr>
      <w:r>
        <w:rPr>
          <w:rFonts w:hint="eastAsia" w:ascii="仿宋" w:hAnsi="仿宋" w:eastAsia="仿宋" w:cs="仿宋"/>
          <w:b/>
          <w:bCs/>
          <w:sz w:val="28"/>
          <w:szCs w:val="28"/>
        </w:rPr>
        <w:t>项目概况</w:t>
      </w:r>
    </w:p>
    <w:p w14:paraId="44DA15AA">
      <w:pPr>
        <w:tabs>
          <w:tab w:val="left" w:pos="502"/>
          <w:tab w:val="left" w:pos="709"/>
        </w:tabs>
        <w:adjustRightInd w:val="0"/>
        <w:snapToGrid w:val="0"/>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项目地址一：位于广东省茂名市高州市金山工业园朗坤环保能源（茂名）有限公司。该项目配备两台日处理600吨机械炉排焚烧炉，烟气处理设计为半干法脱硫+SNCR+活性炭+布袋除尘。</w:t>
      </w:r>
    </w:p>
    <w:p w14:paraId="6B9C34F8">
      <w:pPr>
        <w:numPr>
          <w:ilvl w:val="0"/>
          <w:numId w:val="1"/>
        </w:numPr>
        <w:tabs>
          <w:tab w:val="left" w:pos="502"/>
          <w:tab w:val="left" w:pos="709"/>
        </w:tabs>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采购内容及数量</w:t>
      </w:r>
    </w:p>
    <w:p w14:paraId="5B103127">
      <w:pPr>
        <w:tabs>
          <w:tab w:val="left" w:pos="502"/>
          <w:tab w:val="left" w:pos="709"/>
        </w:tabs>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lang w:eastAsia="zh-CN"/>
        </w:rPr>
        <w:t>高州项目</w:t>
      </w:r>
    </w:p>
    <w:tbl>
      <w:tblPr>
        <w:tblStyle w:val="44"/>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2368"/>
        <w:gridCol w:w="3260"/>
        <w:gridCol w:w="1843"/>
      </w:tblGrid>
      <w:tr w14:paraId="0D9C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001" w:type="dxa"/>
            <w:noWrap w:val="0"/>
            <w:vAlign w:val="top"/>
          </w:tcPr>
          <w:p w14:paraId="55A156D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2368" w:type="dxa"/>
            <w:noWrap w:val="0"/>
            <w:vAlign w:val="top"/>
          </w:tcPr>
          <w:p w14:paraId="1A064A20">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名称</w:t>
            </w:r>
          </w:p>
        </w:tc>
        <w:tc>
          <w:tcPr>
            <w:tcW w:w="3260" w:type="dxa"/>
            <w:noWrap w:val="0"/>
            <w:vAlign w:val="top"/>
          </w:tcPr>
          <w:p w14:paraId="4B5E1A29">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数量（吨/一年量）</w:t>
            </w:r>
          </w:p>
        </w:tc>
        <w:tc>
          <w:tcPr>
            <w:tcW w:w="1843" w:type="dxa"/>
            <w:noWrap w:val="0"/>
            <w:vAlign w:val="top"/>
          </w:tcPr>
          <w:p w14:paraId="0E31F884">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备注</w:t>
            </w:r>
          </w:p>
        </w:tc>
      </w:tr>
      <w:tr w14:paraId="6E6E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001" w:type="dxa"/>
            <w:noWrap w:val="0"/>
            <w:vAlign w:val="top"/>
          </w:tcPr>
          <w:p w14:paraId="32B21807">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1</w:t>
            </w:r>
          </w:p>
        </w:tc>
        <w:tc>
          <w:tcPr>
            <w:tcW w:w="2368" w:type="dxa"/>
            <w:noWrap w:val="0"/>
            <w:vAlign w:val="top"/>
          </w:tcPr>
          <w:p w14:paraId="05655D78">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尿素</w:t>
            </w:r>
          </w:p>
        </w:tc>
        <w:tc>
          <w:tcPr>
            <w:tcW w:w="3260" w:type="dxa"/>
            <w:noWrap w:val="0"/>
            <w:vAlign w:val="top"/>
          </w:tcPr>
          <w:p w14:paraId="40416C26">
            <w:pPr>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lang w:val="en-US" w:eastAsia="zh-CN"/>
              </w:rPr>
              <w:t>150</w:t>
            </w:r>
          </w:p>
        </w:tc>
        <w:tc>
          <w:tcPr>
            <w:tcW w:w="1843" w:type="dxa"/>
            <w:noWrap w:val="0"/>
            <w:vAlign w:val="top"/>
          </w:tcPr>
          <w:p w14:paraId="1CA39CD0">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暂定数量</w:t>
            </w:r>
          </w:p>
        </w:tc>
      </w:tr>
    </w:tbl>
    <w:p w14:paraId="153EA576">
      <w:pPr>
        <w:adjustRightInd w:val="0"/>
        <w:snapToGrid w:val="0"/>
        <w:spacing w:line="360" w:lineRule="auto"/>
        <w:rPr>
          <w:rFonts w:hint="eastAsia" w:ascii="仿宋" w:hAnsi="仿宋" w:eastAsia="仿宋" w:cs="仿宋"/>
          <w:b/>
          <w:bCs/>
          <w:sz w:val="28"/>
          <w:szCs w:val="28"/>
        </w:rPr>
      </w:pPr>
    </w:p>
    <w:p w14:paraId="57A021E9">
      <w:pPr>
        <w:adjustRightInd w:val="0"/>
        <w:snapToGrid w:val="0"/>
        <w:spacing w:line="360" w:lineRule="auto"/>
        <w:rPr>
          <w:rFonts w:hint="eastAsia" w:ascii="仿宋" w:hAnsi="仿宋" w:eastAsia="仿宋" w:cs="仿宋"/>
          <w:b/>
          <w:bCs/>
          <w:sz w:val="28"/>
          <w:szCs w:val="28"/>
        </w:rPr>
      </w:pPr>
      <w:r>
        <w:rPr>
          <w:rFonts w:hint="eastAsia" w:ascii="仿宋" w:hAnsi="仿宋" w:eastAsia="仿宋" w:cs="仿宋"/>
          <w:b/>
          <w:bCs/>
          <w:sz w:val="28"/>
          <w:szCs w:val="28"/>
        </w:rPr>
        <w:t>3、技术要求</w:t>
      </w:r>
    </w:p>
    <w:p w14:paraId="4025037F">
      <w:pPr>
        <w:pStyle w:val="80"/>
        <w:spacing w:line="220" w:lineRule="atLeast"/>
        <w:ind w:firstLine="0" w:firstLineChars="0"/>
        <w:rPr>
          <w:rFonts w:hint="eastAsia" w:ascii="仿宋" w:hAnsi="仿宋" w:eastAsia="仿宋" w:cs="仿宋"/>
          <w:b/>
          <w:sz w:val="28"/>
          <w:szCs w:val="28"/>
          <w:lang w:eastAsia="zh-CN"/>
        </w:rPr>
      </w:pPr>
      <w:r>
        <w:rPr>
          <w:rFonts w:hint="eastAsia" w:ascii="仿宋" w:hAnsi="仿宋" w:eastAsia="仿宋" w:cs="仿宋"/>
          <w:b/>
          <w:sz w:val="28"/>
          <w:szCs w:val="28"/>
        </w:rPr>
        <w:t>3.2</w:t>
      </w:r>
      <w:r>
        <w:rPr>
          <w:rFonts w:hint="eastAsia" w:ascii="仿宋" w:hAnsi="仿宋" w:eastAsia="仿宋" w:cs="仿宋"/>
          <w:b/>
          <w:sz w:val="28"/>
          <w:szCs w:val="28"/>
          <w:lang w:eastAsia="zh-CN"/>
        </w:rPr>
        <w:t>尿素</w:t>
      </w:r>
    </w:p>
    <w:p w14:paraId="1F7EB684">
      <w:pPr>
        <w:pStyle w:val="80"/>
        <w:numPr>
          <w:ilvl w:val="0"/>
          <w:numId w:val="2"/>
        </w:numPr>
        <w:spacing w:line="220" w:lineRule="atLeast"/>
        <w:ind w:firstLine="0" w:firstLineChars="0"/>
        <w:rPr>
          <w:rFonts w:hint="eastAsia" w:ascii="仿宋" w:hAnsi="仿宋" w:eastAsia="仿宋" w:cs="仿宋"/>
          <w:sz w:val="28"/>
          <w:szCs w:val="28"/>
        </w:rPr>
      </w:pPr>
      <w:r>
        <w:rPr>
          <w:rFonts w:hint="eastAsia" w:ascii="仿宋" w:hAnsi="仿宋" w:eastAsia="仿宋" w:cs="仿宋"/>
          <w:sz w:val="28"/>
          <w:szCs w:val="28"/>
          <w:lang w:eastAsia="zh-CN"/>
        </w:rPr>
        <w:t>尿素</w:t>
      </w:r>
      <w:r>
        <w:rPr>
          <w:rFonts w:hint="eastAsia" w:ascii="仿宋" w:hAnsi="仿宋" w:eastAsia="仿宋" w:cs="仿宋"/>
          <w:sz w:val="28"/>
          <w:szCs w:val="28"/>
        </w:rPr>
        <w:t>技术指标（表二）</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995"/>
        <w:gridCol w:w="2295"/>
        <w:gridCol w:w="2198"/>
      </w:tblGrid>
      <w:tr w14:paraId="1787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085F2AEE">
            <w:pPr>
              <w:spacing w:line="220" w:lineRule="atLeast"/>
              <w:rPr>
                <w:rFonts w:hint="eastAsia" w:ascii="仿宋" w:hAnsi="仿宋" w:eastAsia="仿宋" w:cs="仿宋"/>
                <w:sz w:val="28"/>
                <w:szCs w:val="28"/>
              </w:rPr>
            </w:pPr>
            <w:r>
              <w:rPr>
                <w:rFonts w:hint="eastAsia" w:ascii="仿宋" w:hAnsi="仿宋" w:eastAsia="仿宋" w:cs="仿宋"/>
                <w:sz w:val="28"/>
                <w:szCs w:val="28"/>
              </w:rPr>
              <w:t>序号</w:t>
            </w:r>
          </w:p>
        </w:tc>
        <w:tc>
          <w:tcPr>
            <w:tcW w:w="2995" w:type="dxa"/>
            <w:noWrap w:val="0"/>
            <w:vAlign w:val="top"/>
          </w:tcPr>
          <w:p w14:paraId="1DF8D602">
            <w:pPr>
              <w:spacing w:line="220" w:lineRule="atLeast"/>
              <w:rPr>
                <w:rFonts w:hint="eastAsia" w:ascii="仿宋" w:hAnsi="仿宋" w:eastAsia="仿宋" w:cs="仿宋"/>
                <w:sz w:val="28"/>
                <w:szCs w:val="28"/>
              </w:rPr>
            </w:pPr>
            <w:r>
              <w:rPr>
                <w:rFonts w:hint="eastAsia" w:ascii="仿宋" w:hAnsi="仿宋" w:eastAsia="仿宋" w:cs="仿宋"/>
                <w:sz w:val="28"/>
                <w:szCs w:val="28"/>
              </w:rPr>
              <w:t>项目</w:t>
            </w:r>
          </w:p>
        </w:tc>
        <w:tc>
          <w:tcPr>
            <w:tcW w:w="2295" w:type="dxa"/>
            <w:noWrap w:val="0"/>
            <w:vAlign w:val="top"/>
          </w:tcPr>
          <w:p w14:paraId="5BF42115">
            <w:pPr>
              <w:spacing w:line="220" w:lineRule="atLeast"/>
              <w:rPr>
                <w:rFonts w:hint="eastAsia" w:ascii="仿宋" w:hAnsi="仿宋" w:eastAsia="仿宋" w:cs="仿宋"/>
                <w:sz w:val="28"/>
                <w:szCs w:val="28"/>
              </w:rPr>
            </w:pPr>
            <w:r>
              <w:rPr>
                <w:rFonts w:hint="eastAsia" w:ascii="仿宋" w:hAnsi="仿宋" w:eastAsia="仿宋" w:cs="仿宋"/>
                <w:sz w:val="28"/>
                <w:szCs w:val="28"/>
              </w:rPr>
              <w:t>指标</w:t>
            </w:r>
          </w:p>
        </w:tc>
        <w:tc>
          <w:tcPr>
            <w:tcW w:w="2198" w:type="dxa"/>
            <w:noWrap w:val="0"/>
            <w:vAlign w:val="top"/>
          </w:tcPr>
          <w:p w14:paraId="4971CCAC">
            <w:pPr>
              <w:spacing w:line="220" w:lineRule="atLeast"/>
              <w:jc w:val="center"/>
              <w:rPr>
                <w:rFonts w:hint="eastAsia" w:ascii="仿宋" w:hAnsi="仿宋" w:eastAsia="仿宋" w:cs="仿宋"/>
                <w:sz w:val="28"/>
                <w:szCs w:val="28"/>
              </w:rPr>
            </w:pPr>
            <w:r>
              <w:rPr>
                <w:rFonts w:hint="eastAsia" w:ascii="仿宋" w:hAnsi="仿宋" w:eastAsia="仿宋" w:cs="仿宋"/>
                <w:sz w:val="28"/>
                <w:szCs w:val="28"/>
              </w:rPr>
              <w:t>备注</w:t>
            </w:r>
          </w:p>
        </w:tc>
      </w:tr>
      <w:tr w14:paraId="677F5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6A09EAF7">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1</w:t>
            </w:r>
          </w:p>
        </w:tc>
        <w:tc>
          <w:tcPr>
            <w:tcW w:w="2995" w:type="dxa"/>
            <w:noWrap w:val="0"/>
            <w:vAlign w:val="center"/>
          </w:tcPr>
          <w:p w14:paraId="339989D1">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形式</w:t>
            </w:r>
          </w:p>
        </w:tc>
        <w:tc>
          <w:tcPr>
            <w:tcW w:w="2295" w:type="dxa"/>
            <w:noWrap w:val="0"/>
            <w:vAlign w:val="center"/>
          </w:tcPr>
          <w:p w14:paraId="29A51F71">
            <w:pPr>
              <w:pStyle w:val="14"/>
              <w:jc w:val="center"/>
              <w:rPr>
                <w:rFonts w:hint="eastAsia" w:ascii="仿宋" w:hAnsi="仿宋" w:eastAsia="仿宋" w:cs="仿宋"/>
                <w:sz w:val="28"/>
                <w:szCs w:val="28"/>
                <w:lang w:eastAsia="zh-CN"/>
              </w:rPr>
            </w:pPr>
            <w:r>
              <w:rPr>
                <w:rFonts w:hint="eastAsia"/>
                <w:snapToGrid w:val="0"/>
                <w:szCs w:val="21"/>
              </w:rPr>
              <w:t>颗粒状</w:t>
            </w:r>
          </w:p>
        </w:tc>
        <w:tc>
          <w:tcPr>
            <w:tcW w:w="2198" w:type="dxa"/>
            <w:noWrap w:val="0"/>
            <w:vAlign w:val="top"/>
          </w:tcPr>
          <w:p w14:paraId="3AD7524B">
            <w:pPr>
              <w:pStyle w:val="14"/>
              <w:jc w:val="center"/>
              <w:rPr>
                <w:rFonts w:hint="eastAsia" w:ascii="仿宋" w:hAnsi="仿宋" w:eastAsia="仿宋" w:cs="仿宋"/>
                <w:sz w:val="28"/>
                <w:szCs w:val="28"/>
                <w:lang w:eastAsia="zh-CN"/>
              </w:rPr>
            </w:pPr>
          </w:p>
        </w:tc>
      </w:tr>
      <w:tr w14:paraId="1820D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5BBF1687">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2</w:t>
            </w:r>
          </w:p>
        </w:tc>
        <w:tc>
          <w:tcPr>
            <w:tcW w:w="2995" w:type="dxa"/>
            <w:noWrap w:val="0"/>
            <w:vAlign w:val="center"/>
          </w:tcPr>
          <w:p w14:paraId="35BD8B45">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含氮量</w:t>
            </w:r>
          </w:p>
        </w:tc>
        <w:tc>
          <w:tcPr>
            <w:tcW w:w="2295" w:type="dxa"/>
            <w:noWrap w:val="0"/>
            <w:vAlign w:val="center"/>
          </w:tcPr>
          <w:p w14:paraId="1CD8254C">
            <w:pPr>
              <w:pStyle w:val="14"/>
              <w:jc w:val="center"/>
              <w:rPr>
                <w:rFonts w:hint="eastAsia" w:ascii="仿宋" w:hAnsi="仿宋" w:eastAsia="仿宋" w:cs="仿宋"/>
                <w:sz w:val="28"/>
                <w:szCs w:val="28"/>
                <w:lang w:eastAsia="zh-CN"/>
              </w:rPr>
            </w:pPr>
            <w:r>
              <w:rPr>
                <w:rFonts w:ascii="仿宋" w:hAnsi="仿宋" w:eastAsia="仿宋"/>
                <w:sz w:val="24"/>
              </w:rPr>
              <w:t>≥</w:t>
            </w:r>
            <w:r>
              <w:rPr>
                <w:rFonts w:hint="eastAsia" w:ascii="仿宋" w:hAnsi="仿宋" w:eastAsia="仿宋"/>
                <w:sz w:val="24"/>
              </w:rPr>
              <w:t>46</w:t>
            </w:r>
            <w:r>
              <w:rPr>
                <w:rFonts w:ascii="仿宋" w:hAnsi="仿宋" w:eastAsia="仿宋"/>
                <w:sz w:val="24"/>
              </w:rPr>
              <w:t>%</w:t>
            </w:r>
          </w:p>
        </w:tc>
        <w:tc>
          <w:tcPr>
            <w:tcW w:w="2198" w:type="dxa"/>
            <w:noWrap w:val="0"/>
            <w:vAlign w:val="top"/>
          </w:tcPr>
          <w:p w14:paraId="3BA7B682">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防潮袋装</w:t>
            </w:r>
          </w:p>
        </w:tc>
      </w:tr>
      <w:tr w14:paraId="79EF7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472214F3">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3</w:t>
            </w:r>
          </w:p>
        </w:tc>
        <w:tc>
          <w:tcPr>
            <w:tcW w:w="2995" w:type="dxa"/>
            <w:noWrap w:val="0"/>
            <w:vAlign w:val="center"/>
          </w:tcPr>
          <w:p w14:paraId="5FE0D7E5">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水不溶物</w:t>
            </w:r>
          </w:p>
        </w:tc>
        <w:tc>
          <w:tcPr>
            <w:tcW w:w="2295" w:type="dxa"/>
            <w:noWrap w:val="0"/>
            <w:vAlign w:val="center"/>
          </w:tcPr>
          <w:p w14:paraId="17CB84A9">
            <w:pPr>
              <w:autoSpaceDE w:val="0"/>
              <w:autoSpaceDN w:val="0"/>
              <w:spacing w:line="360" w:lineRule="auto"/>
              <w:jc w:val="center"/>
              <w:rPr>
                <w:rFonts w:hint="eastAsia" w:ascii="仿宋" w:hAnsi="仿宋" w:eastAsia="仿宋" w:cs="仿宋"/>
                <w:sz w:val="28"/>
                <w:szCs w:val="28"/>
                <w:lang w:eastAsia="zh-CN"/>
              </w:rPr>
            </w:pPr>
            <w:r>
              <w:rPr>
                <w:rFonts w:ascii="仿宋" w:hAnsi="仿宋" w:eastAsia="仿宋"/>
                <w:sz w:val="24"/>
              </w:rPr>
              <w:t>≤</w:t>
            </w:r>
            <w:r>
              <w:rPr>
                <w:rFonts w:hint="eastAsia" w:ascii="仿宋" w:hAnsi="仿宋" w:eastAsia="仿宋"/>
                <w:sz w:val="24"/>
              </w:rPr>
              <w:t>0.04%</w:t>
            </w:r>
          </w:p>
        </w:tc>
        <w:tc>
          <w:tcPr>
            <w:tcW w:w="2198" w:type="dxa"/>
            <w:noWrap w:val="0"/>
            <w:vAlign w:val="top"/>
          </w:tcPr>
          <w:p w14:paraId="751045E3">
            <w:pPr>
              <w:adjustRightInd w:val="0"/>
              <w:snapToGrid w:val="0"/>
              <w:spacing w:line="360" w:lineRule="auto"/>
              <w:jc w:val="center"/>
              <w:rPr>
                <w:rFonts w:hint="eastAsia" w:ascii="仿宋" w:hAnsi="仿宋" w:eastAsia="仿宋" w:cs="仿宋"/>
                <w:sz w:val="28"/>
                <w:szCs w:val="28"/>
                <w:lang w:eastAsia="zh-CN"/>
              </w:rPr>
            </w:pPr>
          </w:p>
        </w:tc>
      </w:tr>
      <w:tr w14:paraId="475F9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2B43E821">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4</w:t>
            </w:r>
          </w:p>
        </w:tc>
        <w:tc>
          <w:tcPr>
            <w:tcW w:w="2995" w:type="dxa"/>
            <w:noWrap w:val="0"/>
            <w:vAlign w:val="center"/>
          </w:tcPr>
          <w:p w14:paraId="2E337BC3">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缩二脲</w:t>
            </w:r>
          </w:p>
        </w:tc>
        <w:tc>
          <w:tcPr>
            <w:tcW w:w="2295" w:type="dxa"/>
            <w:noWrap w:val="0"/>
            <w:vAlign w:val="center"/>
          </w:tcPr>
          <w:p w14:paraId="45E40554">
            <w:pPr>
              <w:autoSpaceDE w:val="0"/>
              <w:autoSpaceDN w:val="0"/>
              <w:spacing w:line="360" w:lineRule="auto"/>
              <w:jc w:val="center"/>
              <w:rPr>
                <w:rFonts w:hint="eastAsia" w:ascii="仿宋" w:hAnsi="仿宋" w:eastAsia="仿宋" w:cs="仿宋"/>
                <w:sz w:val="28"/>
                <w:szCs w:val="28"/>
                <w:lang w:eastAsia="zh-CN"/>
              </w:rPr>
            </w:pPr>
            <w:r>
              <w:rPr>
                <w:rFonts w:ascii="仿宋" w:hAnsi="仿宋" w:eastAsia="仿宋"/>
                <w:sz w:val="24"/>
              </w:rPr>
              <w:t>≤0</w:t>
            </w:r>
            <w:r>
              <w:rPr>
                <w:rFonts w:hint="eastAsia" w:ascii="仿宋" w:hAnsi="仿宋" w:eastAsia="仿宋"/>
                <w:sz w:val="24"/>
              </w:rPr>
              <w:t>.</w:t>
            </w:r>
            <w:r>
              <w:rPr>
                <w:rFonts w:ascii="仿宋" w:hAnsi="仿宋" w:eastAsia="仿宋"/>
                <w:sz w:val="24"/>
              </w:rPr>
              <w:t>9</w:t>
            </w:r>
            <w:r>
              <w:rPr>
                <w:rFonts w:hint="eastAsia" w:ascii="仿宋" w:hAnsi="仿宋" w:eastAsia="仿宋"/>
                <w:sz w:val="24"/>
              </w:rPr>
              <w:t>%</w:t>
            </w:r>
          </w:p>
        </w:tc>
        <w:tc>
          <w:tcPr>
            <w:tcW w:w="2198" w:type="dxa"/>
            <w:noWrap w:val="0"/>
            <w:vAlign w:val="top"/>
          </w:tcPr>
          <w:p w14:paraId="56AA169A">
            <w:pPr>
              <w:adjustRightInd w:val="0"/>
              <w:snapToGrid w:val="0"/>
              <w:spacing w:line="360" w:lineRule="auto"/>
              <w:jc w:val="center"/>
              <w:rPr>
                <w:rFonts w:hint="eastAsia" w:ascii="仿宋" w:hAnsi="仿宋" w:eastAsia="仿宋" w:cs="仿宋"/>
                <w:sz w:val="28"/>
                <w:szCs w:val="28"/>
                <w:lang w:eastAsia="zh-CN"/>
              </w:rPr>
            </w:pPr>
          </w:p>
        </w:tc>
      </w:tr>
      <w:tr w14:paraId="4DEB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74E19C7B">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5</w:t>
            </w:r>
          </w:p>
        </w:tc>
        <w:tc>
          <w:tcPr>
            <w:tcW w:w="2995" w:type="dxa"/>
            <w:noWrap w:val="0"/>
            <w:vAlign w:val="center"/>
          </w:tcPr>
          <w:p w14:paraId="5E3246A4">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水份</w:t>
            </w:r>
          </w:p>
        </w:tc>
        <w:tc>
          <w:tcPr>
            <w:tcW w:w="2295" w:type="dxa"/>
            <w:noWrap w:val="0"/>
            <w:vAlign w:val="center"/>
          </w:tcPr>
          <w:p w14:paraId="4557A71E">
            <w:pPr>
              <w:autoSpaceDE w:val="0"/>
              <w:autoSpaceDN w:val="0"/>
              <w:spacing w:line="360" w:lineRule="auto"/>
              <w:jc w:val="center"/>
              <w:rPr>
                <w:rFonts w:hint="eastAsia" w:ascii="仿宋" w:hAnsi="仿宋" w:eastAsia="仿宋" w:cs="仿宋"/>
                <w:sz w:val="28"/>
                <w:szCs w:val="28"/>
                <w:lang w:eastAsia="zh-CN"/>
              </w:rPr>
            </w:pPr>
            <w:r>
              <w:rPr>
                <w:rFonts w:ascii="仿宋" w:hAnsi="仿宋" w:eastAsia="仿宋"/>
                <w:sz w:val="24"/>
              </w:rPr>
              <w:t>≤</w:t>
            </w:r>
            <w:r>
              <w:rPr>
                <w:rFonts w:hint="eastAsia" w:ascii="仿宋" w:hAnsi="仿宋" w:eastAsia="仿宋"/>
                <w:sz w:val="24"/>
              </w:rPr>
              <w:t>0.</w:t>
            </w:r>
            <w:r>
              <w:rPr>
                <w:rFonts w:ascii="仿宋" w:hAnsi="仿宋" w:eastAsia="仿宋"/>
                <w:sz w:val="24"/>
              </w:rPr>
              <w:t>5</w:t>
            </w:r>
            <w:r>
              <w:rPr>
                <w:rFonts w:hint="eastAsia" w:ascii="仿宋" w:hAnsi="仿宋" w:eastAsia="仿宋"/>
                <w:sz w:val="24"/>
              </w:rPr>
              <w:t>%</w:t>
            </w:r>
          </w:p>
        </w:tc>
        <w:tc>
          <w:tcPr>
            <w:tcW w:w="2198" w:type="dxa"/>
            <w:noWrap w:val="0"/>
            <w:vAlign w:val="top"/>
          </w:tcPr>
          <w:p w14:paraId="39838FC6">
            <w:pPr>
              <w:adjustRightInd w:val="0"/>
              <w:snapToGrid w:val="0"/>
              <w:spacing w:line="360" w:lineRule="auto"/>
              <w:jc w:val="center"/>
              <w:rPr>
                <w:rFonts w:hint="eastAsia" w:ascii="仿宋" w:hAnsi="仿宋" w:eastAsia="仿宋" w:cs="仿宋"/>
                <w:sz w:val="28"/>
                <w:szCs w:val="28"/>
                <w:lang w:eastAsia="zh-CN"/>
              </w:rPr>
            </w:pPr>
          </w:p>
        </w:tc>
      </w:tr>
      <w:tr w14:paraId="09930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09C89308">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6</w:t>
            </w:r>
          </w:p>
        </w:tc>
        <w:tc>
          <w:tcPr>
            <w:tcW w:w="2995" w:type="dxa"/>
            <w:noWrap w:val="0"/>
            <w:vAlign w:val="center"/>
          </w:tcPr>
          <w:p w14:paraId="39D5051D">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铁</w:t>
            </w:r>
          </w:p>
        </w:tc>
        <w:tc>
          <w:tcPr>
            <w:tcW w:w="2295" w:type="dxa"/>
            <w:noWrap w:val="0"/>
            <w:vAlign w:val="center"/>
          </w:tcPr>
          <w:p w14:paraId="6EFDEC59">
            <w:pPr>
              <w:autoSpaceDE w:val="0"/>
              <w:autoSpaceDN w:val="0"/>
              <w:spacing w:line="360" w:lineRule="auto"/>
              <w:jc w:val="center"/>
              <w:rPr>
                <w:rFonts w:hint="eastAsia" w:ascii="仿宋" w:hAnsi="仿宋" w:eastAsia="仿宋" w:cs="仿宋"/>
                <w:sz w:val="28"/>
                <w:szCs w:val="28"/>
                <w:lang w:eastAsia="zh-CN"/>
              </w:rPr>
            </w:pPr>
            <w:r>
              <w:rPr>
                <w:rFonts w:ascii="仿宋" w:hAnsi="仿宋" w:eastAsia="仿宋"/>
                <w:sz w:val="24"/>
              </w:rPr>
              <w:t>≤</w:t>
            </w:r>
            <w:r>
              <w:rPr>
                <w:rFonts w:hint="eastAsia" w:ascii="仿宋" w:hAnsi="仿宋" w:eastAsia="仿宋"/>
                <w:sz w:val="24"/>
              </w:rPr>
              <w:t>0.001%</w:t>
            </w:r>
          </w:p>
        </w:tc>
        <w:tc>
          <w:tcPr>
            <w:tcW w:w="2198" w:type="dxa"/>
            <w:noWrap w:val="0"/>
            <w:vAlign w:val="top"/>
          </w:tcPr>
          <w:p w14:paraId="5A352DA3">
            <w:pPr>
              <w:adjustRightInd w:val="0"/>
              <w:snapToGrid w:val="0"/>
              <w:spacing w:line="360" w:lineRule="auto"/>
              <w:jc w:val="center"/>
              <w:rPr>
                <w:rFonts w:hint="eastAsia" w:ascii="仿宋" w:hAnsi="仿宋" w:eastAsia="仿宋" w:cs="仿宋"/>
                <w:sz w:val="28"/>
                <w:szCs w:val="28"/>
                <w:lang w:eastAsia="zh-CN"/>
              </w:rPr>
            </w:pPr>
          </w:p>
        </w:tc>
      </w:tr>
      <w:tr w14:paraId="47ED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39EFA2A3">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7</w:t>
            </w:r>
          </w:p>
        </w:tc>
        <w:tc>
          <w:tcPr>
            <w:tcW w:w="2995" w:type="dxa"/>
            <w:noWrap w:val="0"/>
            <w:vAlign w:val="center"/>
          </w:tcPr>
          <w:p w14:paraId="33330576">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碱度</w:t>
            </w:r>
          </w:p>
        </w:tc>
        <w:tc>
          <w:tcPr>
            <w:tcW w:w="2295" w:type="dxa"/>
            <w:noWrap w:val="0"/>
            <w:vAlign w:val="center"/>
          </w:tcPr>
          <w:p w14:paraId="33604A03">
            <w:pPr>
              <w:autoSpaceDE w:val="0"/>
              <w:autoSpaceDN w:val="0"/>
              <w:spacing w:line="360" w:lineRule="auto"/>
              <w:jc w:val="center"/>
              <w:rPr>
                <w:rFonts w:hint="eastAsia" w:ascii="仿宋" w:hAnsi="仿宋" w:eastAsia="仿宋" w:cs="仿宋"/>
                <w:sz w:val="28"/>
                <w:szCs w:val="28"/>
                <w:lang w:eastAsia="zh-CN"/>
              </w:rPr>
            </w:pPr>
            <w:r>
              <w:rPr>
                <w:rFonts w:ascii="仿宋" w:hAnsi="仿宋" w:eastAsia="仿宋"/>
                <w:sz w:val="24"/>
              </w:rPr>
              <w:t>≤</w:t>
            </w:r>
            <w:r>
              <w:rPr>
                <w:rFonts w:hint="eastAsia" w:ascii="仿宋" w:hAnsi="仿宋" w:eastAsia="仿宋"/>
                <w:sz w:val="24"/>
              </w:rPr>
              <w:t>0.03%</w:t>
            </w:r>
          </w:p>
        </w:tc>
        <w:tc>
          <w:tcPr>
            <w:tcW w:w="2198" w:type="dxa"/>
            <w:noWrap w:val="0"/>
            <w:vAlign w:val="top"/>
          </w:tcPr>
          <w:p w14:paraId="2DF26F04">
            <w:pPr>
              <w:adjustRightInd w:val="0"/>
              <w:snapToGrid w:val="0"/>
              <w:spacing w:line="360" w:lineRule="auto"/>
              <w:jc w:val="center"/>
              <w:rPr>
                <w:rFonts w:hint="eastAsia" w:ascii="仿宋" w:hAnsi="仿宋" w:eastAsia="仿宋" w:cs="仿宋"/>
                <w:sz w:val="28"/>
                <w:szCs w:val="28"/>
                <w:lang w:eastAsia="zh-CN"/>
              </w:rPr>
            </w:pPr>
          </w:p>
        </w:tc>
      </w:tr>
      <w:tr w14:paraId="39DDE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14:paraId="11E6D48D">
            <w:pPr>
              <w:adjustRightInd w:val="0"/>
              <w:snapToGrid w:val="0"/>
              <w:spacing w:line="360" w:lineRule="auto"/>
              <w:jc w:val="cente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8</w:t>
            </w:r>
          </w:p>
        </w:tc>
        <w:tc>
          <w:tcPr>
            <w:tcW w:w="2995" w:type="dxa"/>
            <w:noWrap w:val="0"/>
            <w:vAlign w:val="center"/>
          </w:tcPr>
          <w:p w14:paraId="49843824">
            <w:pPr>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硫酸盐</w:t>
            </w:r>
          </w:p>
        </w:tc>
        <w:tc>
          <w:tcPr>
            <w:tcW w:w="2295" w:type="dxa"/>
            <w:noWrap w:val="0"/>
            <w:vAlign w:val="center"/>
          </w:tcPr>
          <w:p w14:paraId="2946E743">
            <w:pPr>
              <w:spacing w:line="360" w:lineRule="auto"/>
              <w:jc w:val="center"/>
              <w:rPr>
                <w:rFonts w:hint="eastAsia" w:ascii="仿宋" w:hAnsi="仿宋" w:eastAsia="仿宋" w:cs="仿宋"/>
                <w:sz w:val="28"/>
                <w:szCs w:val="28"/>
                <w:lang w:eastAsia="zh-CN"/>
              </w:rPr>
            </w:pPr>
            <w:r>
              <w:rPr>
                <w:rFonts w:ascii="仿宋" w:hAnsi="仿宋" w:eastAsia="仿宋"/>
                <w:sz w:val="24"/>
              </w:rPr>
              <w:t>≤</w:t>
            </w:r>
            <w:r>
              <w:rPr>
                <w:rFonts w:hint="eastAsia" w:ascii="仿宋" w:hAnsi="仿宋" w:eastAsia="仿宋"/>
                <w:sz w:val="24"/>
              </w:rPr>
              <w:t>0.02%</w:t>
            </w:r>
          </w:p>
        </w:tc>
        <w:tc>
          <w:tcPr>
            <w:tcW w:w="2198" w:type="dxa"/>
            <w:noWrap w:val="0"/>
            <w:vAlign w:val="top"/>
          </w:tcPr>
          <w:p w14:paraId="7E91D681">
            <w:pPr>
              <w:adjustRightInd w:val="0"/>
              <w:snapToGrid w:val="0"/>
              <w:spacing w:line="360" w:lineRule="auto"/>
              <w:jc w:val="center"/>
              <w:rPr>
                <w:rFonts w:hint="eastAsia" w:ascii="仿宋" w:hAnsi="仿宋" w:eastAsia="仿宋" w:cs="仿宋"/>
                <w:sz w:val="28"/>
                <w:szCs w:val="28"/>
                <w:lang w:eastAsia="zh-CN"/>
              </w:rPr>
            </w:pPr>
          </w:p>
        </w:tc>
      </w:tr>
    </w:tbl>
    <w:p w14:paraId="3C31E666">
      <w:pPr>
        <w:pStyle w:val="38"/>
        <w:spacing w:before="0" w:beforeAutospacing="0" w:after="0" w:afterAutospacing="0" w:line="360" w:lineRule="auto"/>
        <w:rPr>
          <w:rFonts w:hint="eastAsia" w:ascii="仿宋" w:hAnsi="仿宋" w:eastAsia="华文中宋" w:cs="仿宋"/>
          <w:color w:val="000000"/>
          <w:sz w:val="28"/>
          <w:szCs w:val="28"/>
          <w:lang w:val="en-US" w:eastAsia="zh-CN"/>
        </w:rPr>
      </w:pPr>
      <w:r>
        <w:rPr>
          <w:rFonts w:hint="eastAsia" w:ascii="仿宋" w:hAnsi="仿宋" w:eastAsia="仿宋" w:cs="仿宋"/>
          <w:kern w:val="2"/>
          <w:sz w:val="28"/>
          <w:szCs w:val="28"/>
          <w:lang w:val="en-US" w:eastAsia="zh-CN" w:bidi="ar-SA"/>
        </w:rPr>
        <w:t>尿素质量执行中华人民共和国国家标准：GB/T 2440—2017农业用（肥料）尿素优等品质量标准。若该中华人民共和国化工行业标准发生变化，按最新标准执行。同时尿素必须是全新的，要求为细颗粒的，不允许结块，防潮袋装。</w:t>
      </w:r>
    </w:p>
    <w:p w14:paraId="5278F8E8">
      <w:pPr>
        <w:spacing w:line="440" w:lineRule="exact"/>
        <w:rPr>
          <w:rFonts w:hint="eastAsia" w:ascii="仿宋" w:hAnsi="仿宋" w:eastAsia="仿宋" w:cs="仿宋"/>
          <w:sz w:val="28"/>
          <w:szCs w:val="28"/>
        </w:rPr>
      </w:pPr>
      <w:r>
        <w:rPr>
          <w:rFonts w:hint="eastAsia" w:ascii="仿宋" w:hAnsi="仿宋" w:eastAsia="仿宋" w:cs="仿宋"/>
          <w:color w:val="000000"/>
          <w:sz w:val="28"/>
          <w:szCs w:val="28"/>
        </w:rPr>
        <w:t>二）</w:t>
      </w:r>
      <w:r>
        <w:rPr>
          <w:rFonts w:hint="eastAsia" w:ascii="仿宋" w:hAnsi="仿宋" w:eastAsia="仿宋" w:cs="仿宋"/>
          <w:sz w:val="28"/>
          <w:szCs w:val="28"/>
        </w:rPr>
        <w:t>运输和包装要求</w:t>
      </w:r>
    </w:p>
    <w:p w14:paraId="0609F95D">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1.运输要求</w:t>
      </w:r>
    </w:p>
    <w:p w14:paraId="5DFF47C3">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*1.1每次送  吨左右；</w:t>
      </w:r>
    </w:p>
    <w:p w14:paraId="629A077D">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2.包装要求</w:t>
      </w:r>
    </w:p>
    <w:p w14:paraId="4340DC4F">
      <w:pPr>
        <w:spacing w:line="440" w:lineRule="exact"/>
        <w:outlineLvl w:val="0"/>
        <w:rPr>
          <w:rFonts w:hint="eastAsia" w:ascii="仿宋" w:hAnsi="仿宋" w:eastAsia="仿宋" w:cs="仿宋"/>
          <w:sz w:val="28"/>
          <w:szCs w:val="28"/>
        </w:rPr>
      </w:pPr>
      <w:r>
        <w:rPr>
          <w:rFonts w:hint="eastAsia" w:ascii="仿宋" w:hAnsi="仿宋" w:eastAsia="仿宋" w:cs="仿宋"/>
          <w:sz w:val="28"/>
          <w:szCs w:val="28"/>
        </w:rPr>
        <w:t>*2.1采用防雨、防潮且不易破损的密封袋包装，每袋重量不大于50kg；</w:t>
      </w:r>
    </w:p>
    <w:p w14:paraId="5A14F9D9">
      <w:pPr>
        <w:spacing w:line="440" w:lineRule="exact"/>
        <w:rPr>
          <w:rFonts w:hint="eastAsia" w:ascii="仿宋" w:hAnsi="仿宋" w:eastAsia="仿宋" w:cs="仿宋"/>
          <w:color w:val="000000"/>
          <w:sz w:val="28"/>
          <w:szCs w:val="28"/>
        </w:rPr>
      </w:pPr>
      <w:r>
        <w:rPr>
          <w:rFonts w:hint="eastAsia" w:ascii="仿宋" w:hAnsi="仿宋" w:eastAsia="仿宋" w:cs="仿宋"/>
          <w:sz w:val="28"/>
          <w:szCs w:val="28"/>
        </w:rPr>
        <w:t>三）交货时提供的技术资料</w:t>
      </w:r>
    </w:p>
    <w:p w14:paraId="495C4F82">
      <w:pPr>
        <w:spacing w:line="440" w:lineRule="exact"/>
        <w:rPr>
          <w:rFonts w:hint="eastAsia" w:ascii="仿宋" w:hAnsi="仿宋" w:eastAsia="仿宋" w:cs="仿宋"/>
          <w:sz w:val="28"/>
          <w:szCs w:val="28"/>
        </w:rPr>
      </w:pPr>
      <w:r>
        <w:rPr>
          <w:rFonts w:hint="eastAsia" w:ascii="仿宋" w:hAnsi="仿宋" w:eastAsia="仿宋" w:cs="仿宋"/>
          <w:sz w:val="28"/>
          <w:szCs w:val="28"/>
        </w:rPr>
        <w:t>*材料的合格证或质保证书和出厂检验报告；</w:t>
      </w:r>
    </w:p>
    <w:p w14:paraId="1E578ACE">
      <w:pPr>
        <w:spacing w:line="440" w:lineRule="exact"/>
        <w:rPr>
          <w:rFonts w:hint="eastAsia" w:ascii="仿宋" w:hAnsi="仿宋" w:eastAsia="仿宋" w:cs="仿宋"/>
          <w:sz w:val="28"/>
          <w:szCs w:val="28"/>
        </w:rPr>
      </w:pPr>
      <w:r>
        <w:rPr>
          <w:rFonts w:hint="eastAsia" w:ascii="仿宋" w:hAnsi="仿宋" w:eastAsia="仿宋" w:cs="仿宋"/>
          <w:sz w:val="28"/>
          <w:szCs w:val="28"/>
        </w:rPr>
        <w:t>四）交货地点、交货时间</w:t>
      </w:r>
    </w:p>
    <w:p w14:paraId="308DF58E">
      <w:pPr>
        <w:pStyle w:val="20"/>
        <w:spacing w:line="440" w:lineRule="exact"/>
        <w:rPr>
          <w:rFonts w:hint="eastAsia" w:ascii="仿宋" w:hAnsi="仿宋" w:eastAsia="仿宋" w:cs="仿宋"/>
          <w:sz w:val="28"/>
          <w:szCs w:val="28"/>
        </w:rPr>
      </w:pPr>
      <w:r>
        <w:rPr>
          <w:rFonts w:hint="eastAsia" w:ascii="仿宋" w:hAnsi="仿宋" w:eastAsia="仿宋" w:cs="仿宋"/>
          <w:sz w:val="28"/>
          <w:szCs w:val="28"/>
        </w:rPr>
        <w:t>1.交货地点</w:t>
      </w:r>
    </w:p>
    <w:p w14:paraId="13E20749">
      <w:pPr>
        <w:pStyle w:val="20"/>
        <w:spacing w:line="440" w:lineRule="exact"/>
        <w:rPr>
          <w:rFonts w:hint="eastAsia" w:ascii="仿宋" w:hAnsi="仿宋" w:eastAsia="仿宋" w:cs="仿宋"/>
          <w:color w:val="000000"/>
          <w:position w:val="2"/>
          <w:sz w:val="28"/>
          <w:szCs w:val="28"/>
        </w:rPr>
      </w:pPr>
      <w:r>
        <w:rPr>
          <w:rFonts w:hint="eastAsia" w:ascii="仿宋" w:hAnsi="仿宋" w:eastAsia="仿宋" w:cs="仿宋"/>
          <w:color w:val="000000"/>
          <w:position w:val="2"/>
          <w:sz w:val="28"/>
          <w:szCs w:val="28"/>
        </w:rPr>
        <w:t>交货地点</w:t>
      </w:r>
      <w:r>
        <w:rPr>
          <w:rFonts w:hint="eastAsia" w:ascii="仿宋" w:hAnsi="仿宋" w:eastAsia="仿宋" w:cs="仿宋"/>
          <w:color w:val="000000"/>
          <w:position w:val="2"/>
          <w:sz w:val="28"/>
          <w:szCs w:val="28"/>
          <w:lang w:val="en-US" w:eastAsia="zh-CN"/>
        </w:rPr>
        <w:t>1</w:t>
      </w:r>
      <w:r>
        <w:rPr>
          <w:rFonts w:hint="eastAsia" w:ascii="仿宋" w:hAnsi="仿宋" w:eastAsia="仿宋" w:cs="仿宋"/>
          <w:color w:val="000000"/>
          <w:position w:val="2"/>
          <w:sz w:val="28"/>
          <w:szCs w:val="28"/>
        </w:rPr>
        <w:t>：</w:t>
      </w:r>
      <w:r>
        <w:rPr>
          <w:rFonts w:hint="eastAsia" w:ascii="仿宋" w:hAnsi="仿宋" w:eastAsia="仿宋" w:cs="仿宋"/>
          <w:bCs/>
          <w:sz w:val="28"/>
          <w:szCs w:val="28"/>
          <w:lang w:val="en-US" w:eastAsia="zh-CN"/>
        </w:rPr>
        <w:t>朗坤环保能源（茂名）有限公司</w:t>
      </w:r>
      <w:r>
        <w:rPr>
          <w:rFonts w:hint="eastAsia" w:ascii="仿宋" w:hAnsi="仿宋" w:eastAsia="仿宋" w:cs="仿宋"/>
          <w:color w:val="000000"/>
          <w:position w:val="2"/>
          <w:sz w:val="28"/>
          <w:szCs w:val="28"/>
        </w:rPr>
        <w:t>厂内需方指定地点。</w:t>
      </w:r>
    </w:p>
    <w:p w14:paraId="690F73D2">
      <w:pPr>
        <w:spacing w:line="440" w:lineRule="exact"/>
        <w:rPr>
          <w:rFonts w:hint="eastAsia" w:ascii="仿宋" w:hAnsi="仿宋" w:eastAsia="仿宋" w:cs="仿宋"/>
          <w:sz w:val="28"/>
          <w:szCs w:val="28"/>
        </w:rPr>
      </w:pPr>
      <w:r>
        <w:rPr>
          <w:rFonts w:hint="eastAsia" w:ascii="仿宋" w:hAnsi="仿宋" w:eastAsia="仿宋" w:cs="仿宋"/>
          <w:sz w:val="28"/>
          <w:szCs w:val="28"/>
        </w:rPr>
        <w:t>2.交货时间</w:t>
      </w:r>
    </w:p>
    <w:p w14:paraId="6F6C46A8">
      <w:pPr>
        <w:spacing w:line="440" w:lineRule="exact"/>
        <w:rPr>
          <w:rFonts w:hint="eastAsia" w:ascii="仿宋" w:hAnsi="仿宋" w:eastAsia="仿宋" w:cs="仿宋"/>
          <w:color w:val="000000"/>
          <w:spacing w:val="10"/>
          <w:sz w:val="28"/>
          <w:szCs w:val="28"/>
        </w:rPr>
      </w:pPr>
      <w:r>
        <w:rPr>
          <w:rFonts w:hint="eastAsia" w:ascii="仿宋" w:hAnsi="仿宋" w:eastAsia="仿宋" w:cs="仿宋"/>
          <w:color w:val="000000"/>
          <w:spacing w:val="10"/>
          <w:sz w:val="28"/>
          <w:szCs w:val="28"/>
        </w:rPr>
        <w:t>分批送货，第一批货物的送货</w:t>
      </w:r>
      <w:r>
        <w:rPr>
          <w:rFonts w:hint="eastAsia" w:ascii="仿宋" w:hAnsi="仿宋" w:eastAsia="仿宋" w:cs="仿宋"/>
          <w:spacing w:val="10"/>
          <w:sz w:val="28"/>
          <w:szCs w:val="28"/>
        </w:rPr>
        <w:t>时间为中标通知书发出后第   个日历日（甲方</w:t>
      </w:r>
      <w:r>
        <w:rPr>
          <w:rFonts w:hint="eastAsia" w:ascii="仿宋" w:hAnsi="仿宋" w:eastAsia="仿宋" w:cs="仿宋"/>
          <w:color w:val="000000"/>
          <w:spacing w:val="10"/>
          <w:sz w:val="28"/>
          <w:szCs w:val="28"/>
        </w:rPr>
        <w:t>原因除外），具体送货时间以甲方书面通知书为准，</w:t>
      </w:r>
      <w:r>
        <w:rPr>
          <w:rFonts w:hint="eastAsia" w:ascii="仿宋" w:hAnsi="仿宋" w:eastAsia="仿宋" w:cs="仿宋"/>
          <w:sz w:val="28"/>
          <w:szCs w:val="28"/>
        </w:rPr>
        <w:t>收到甲方送货通知后三天内送</w:t>
      </w:r>
      <w:r>
        <w:rPr>
          <w:rFonts w:hint="eastAsia" w:ascii="仿宋" w:hAnsi="仿宋" w:eastAsia="仿宋" w:cs="仿宋"/>
          <w:color w:val="000000"/>
          <w:spacing w:val="10"/>
          <w:sz w:val="28"/>
          <w:szCs w:val="28"/>
        </w:rPr>
        <w:t>达交货地点。</w:t>
      </w:r>
    </w:p>
    <w:p w14:paraId="32F80E91">
      <w:pPr>
        <w:spacing w:line="440" w:lineRule="exact"/>
        <w:rPr>
          <w:rFonts w:hint="eastAsia" w:ascii="仿宋" w:hAnsi="仿宋" w:eastAsia="仿宋" w:cs="仿宋"/>
          <w:sz w:val="28"/>
          <w:szCs w:val="28"/>
        </w:rPr>
      </w:pPr>
      <w:r>
        <w:rPr>
          <w:rFonts w:hint="eastAsia" w:ascii="仿宋" w:hAnsi="仿宋" w:eastAsia="仿宋" w:cs="仿宋"/>
          <w:sz w:val="28"/>
          <w:szCs w:val="28"/>
        </w:rPr>
        <w:t>五）验收</w:t>
      </w:r>
    </w:p>
    <w:p w14:paraId="56DB64F2">
      <w:pPr>
        <w:spacing w:line="440" w:lineRule="exact"/>
        <w:rPr>
          <w:rFonts w:hint="eastAsia" w:ascii="仿宋" w:hAnsi="仿宋" w:eastAsia="仿宋" w:cs="仿宋"/>
          <w:sz w:val="28"/>
          <w:szCs w:val="28"/>
        </w:rPr>
      </w:pPr>
      <w:r>
        <w:rPr>
          <w:rFonts w:hint="eastAsia" w:ascii="仿宋" w:hAnsi="仿宋" w:eastAsia="仿宋" w:cs="仿宋"/>
          <w:sz w:val="28"/>
          <w:szCs w:val="28"/>
        </w:rPr>
        <w:t>1.验收方式：</w:t>
      </w:r>
    </w:p>
    <w:p w14:paraId="4247DDB2">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1.1货物到达后，在甲方地磅房过磅，重量以过磅的结果为准。</w:t>
      </w:r>
    </w:p>
    <w:p w14:paraId="2AC34235">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1.2货物到达后甲乙双方取样进行外观检查并封存样品，若对货物质量有异议时将样品送具有相应资质的单位进行检测。</w:t>
      </w:r>
    </w:p>
    <w:p w14:paraId="6ADDCE38">
      <w:pPr>
        <w:tabs>
          <w:tab w:val="left" w:pos="5900"/>
        </w:tabs>
        <w:spacing w:line="440" w:lineRule="exact"/>
        <w:rPr>
          <w:rFonts w:hint="eastAsia" w:ascii="仿宋" w:hAnsi="仿宋" w:eastAsia="仿宋" w:cs="仿宋"/>
          <w:b/>
          <w:sz w:val="28"/>
          <w:szCs w:val="28"/>
        </w:rPr>
      </w:pPr>
      <w:r>
        <w:rPr>
          <w:rFonts w:hint="eastAsia" w:ascii="仿宋" w:hAnsi="仿宋" w:eastAsia="仿宋" w:cs="仿宋"/>
          <w:sz w:val="28"/>
          <w:szCs w:val="28"/>
        </w:rPr>
        <w:t>2.合格标准</w:t>
      </w:r>
      <w:r>
        <w:rPr>
          <w:rFonts w:hint="eastAsia" w:ascii="仿宋" w:hAnsi="仿宋" w:eastAsia="仿宋" w:cs="仿宋"/>
          <w:b/>
          <w:sz w:val="28"/>
          <w:szCs w:val="28"/>
        </w:rPr>
        <w:t>：</w:t>
      </w:r>
    </w:p>
    <w:p w14:paraId="26B3A703">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2.1货物出厂检测结果应全部满足表三的要求。</w:t>
      </w:r>
    </w:p>
    <w:p w14:paraId="3AA32158">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2.2外观检查合格。</w:t>
      </w:r>
    </w:p>
    <w:p w14:paraId="0AF85C40">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2.3若有送检其检测结果应全部满足表三的要求。</w:t>
      </w:r>
    </w:p>
    <w:p w14:paraId="7D0DD339">
      <w:pPr>
        <w:tabs>
          <w:tab w:val="left" w:pos="5900"/>
        </w:tabs>
        <w:spacing w:line="440" w:lineRule="exact"/>
        <w:rPr>
          <w:rFonts w:hint="eastAsia" w:ascii="仿宋" w:hAnsi="仿宋" w:eastAsia="仿宋" w:cs="仿宋"/>
          <w:sz w:val="28"/>
          <w:szCs w:val="28"/>
        </w:rPr>
      </w:pPr>
      <w:r>
        <w:rPr>
          <w:rFonts w:hint="eastAsia" w:ascii="仿宋" w:hAnsi="仿宋" w:eastAsia="仿宋" w:cs="仿宋"/>
          <w:sz w:val="28"/>
          <w:szCs w:val="28"/>
        </w:rPr>
        <w:t>2.4技术资料齐全。</w:t>
      </w:r>
    </w:p>
    <w:p w14:paraId="355124A2">
      <w:pPr>
        <w:spacing w:line="440" w:lineRule="exact"/>
        <w:rPr>
          <w:rFonts w:hint="eastAsia" w:ascii="仿宋" w:hAnsi="仿宋" w:eastAsia="仿宋" w:cs="仿宋"/>
          <w:sz w:val="28"/>
          <w:szCs w:val="28"/>
        </w:rPr>
      </w:pPr>
      <w:r>
        <w:rPr>
          <w:rFonts w:hint="eastAsia" w:ascii="仿宋" w:hAnsi="仿宋" w:eastAsia="仿宋" w:cs="仿宋"/>
          <w:sz w:val="28"/>
          <w:szCs w:val="28"/>
        </w:rPr>
        <w:t>六）违约责任</w:t>
      </w:r>
    </w:p>
    <w:p w14:paraId="0F8EFC3C">
      <w:pPr>
        <w:spacing w:line="440" w:lineRule="exact"/>
        <w:rPr>
          <w:rFonts w:hint="eastAsia" w:ascii="仿宋" w:hAnsi="仿宋" w:eastAsia="仿宋" w:cs="仿宋"/>
          <w:sz w:val="28"/>
          <w:szCs w:val="28"/>
        </w:rPr>
      </w:pPr>
      <w:r>
        <w:rPr>
          <w:rFonts w:hint="eastAsia" w:ascii="仿宋" w:hAnsi="仿宋" w:eastAsia="仿宋" w:cs="仿宋"/>
          <w:sz w:val="28"/>
          <w:szCs w:val="28"/>
        </w:rPr>
        <w:t>*1.若货物经外观检查或检测判定货物不合格，供应商应无条件更换成合格的货物，且由此发生的所有费用（含甲方的经济损失）由供应商承担。</w:t>
      </w:r>
    </w:p>
    <w:p w14:paraId="1BD8BFB2">
      <w:pPr>
        <w:spacing w:line="440" w:lineRule="exact"/>
        <w:rPr>
          <w:rFonts w:hint="eastAsia" w:ascii="仿宋" w:hAnsi="仿宋" w:eastAsia="仿宋" w:cs="仿宋"/>
          <w:sz w:val="28"/>
          <w:szCs w:val="28"/>
        </w:rPr>
      </w:pPr>
      <w:r>
        <w:rPr>
          <w:rFonts w:hint="eastAsia" w:ascii="仿宋" w:hAnsi="仿宋" w:eastAsia="仿宋" w:cs="仿宋"/>
          <w:sz w:val="28"/>
          <w:szCs w:val="28"/>
        </w:rPr>
        <w:t>*2.若货物连续两次经外观检查或检测判定货物不合格，甲方有权单方面终止合同，且三年内不允许参加相应项目的投标。</w:t>
      </w:r>
    </w:p>
    <w:p w14:paraId="16CDA787">
      <w:pPr>
        <w:pStyle w:val="80"/>
        <w:spacing w:line="440" w:lineRule="exact"/>
        <w:ind w:firstLine="0" w:firstLineChars="0"/>
        <w:rPr>
          <w:rFonts w:hint="eastAsia" w:ascii="仿宋" w:hAnsi="仿宋" w:eastAsia="仿宋" w:cs="仿宋"/>
          <w:sz w:val="28"/>
          <w:szCs w:val="28"/>
        </w:rPr>
      </w:pPr>
      <w:r>
        <w:rPr>
          <w:rFonts w:hint="eastAsia" w:ascii="仿宋" w:hAnsi="仿宋" w:eastAsia="仿宋" w:cs="仿宋"/>
          <w:sz w:val="28"/>
          <w:szCs w:val="28"/>
        </w:rPr>
        <w:t>*3.货物若不能在甲方要求的时间内送达且对甲方生产造成影响，应赔偿甲方由此造成的损失；若连续两次出现不能按时送货，甲方有权单方面终止合同，且三年内不允许参加相应项目的投标。</w:t>
      </w:r>
    </w:p>
    <w:p w14:paraId="64C64D0D">
      <w:pPr>
        <w:adjustRightInd w:val="0"/>
        <w:snapToGrid w:val="0"/>
        <w:spacing w:line="360" w:lineRule="auto"/>
        <w:rPr>
          <w:rFonts w:hint="eastAsia" w:ascii="仿宋" w:hAnsi="仿宋" w:eastAsia="仿宋" w:cs="仿宋"/>
          <w:b/>
          <w:bCs/>
          <w:sz w:val="28"/>
          <w:szCs w:val="28"/>
        </w:rPr>
      </w:pPr>
    </w:p>
    <w:p w14:paraId="24C821B6">
      <w:pPr>
        <w:pStyle w:val="2"/>
        <w:keepLines w:val="0"/>
        <w:widowControl w:val="0"/>
        <w:snapToGrid w:val="0"/>
        <w:spacing w:before="0" w:after="0" w:line="360" w:lineRule="auto"/>
        <w:jc w:val="both"/>
        <w:rPr>
          <w:rFonts w:hint="eastAsia" w:ascii="仿宋" w:hAnsi="仿宋" w:eastAsia="仿宋" w:cs="仿宋"/>
          <w:b/>
          <w:sz w:val="28"/>
          <w:szCs w:val="28"/>
        </w:rPr>
      </w:pPr>
      <w:bookmarkStart w:id="78" w:name="_Toc50864444"/>
      <w:bookmarkStart w:id="79" w:name="_Toc35342046"/>
      <w:bookmarkStart w:id="80" w:name="_Toc91392962"/>
      <w:bookmarkStart w:id="81" w:name="_Toc123786890"/>
    </w:p>
    <w:p w14:paraId="5D0743FF">
      <w:pPr>
        <w:pStyle w:val="2"/>
        <w:keepLines w:val="0"/>
        <w:widowControl w:val="0"/>
        <w:snapToGrid w:val="0"/>
        <w:spacing w:before="0" w:after="0" w:line="360" w:lineRule="auto"/>
        <w:ind w:firstLine="3233" w:firstLineChars="1150"/>
        <w:jc w:val="both"/>
        <w:rPr>
          <w:rFonts w:hint="eastAsia" w:ascii="仿宋" w:hAnsi="仿宋" w:eastAsia="仿宋" w:cs="仿宋"/>
          <w:b/>
          <w:sz w:val="28"/>
          <w:szCs w:val="28"/>
        </w:rPr>
      </w:pPr>
    </w:p>
    <w:p w14:paraId="63346C4F">
      <w:pPr>
        <w:pStyle w:val="2"/>
        <w:keepLines w:val="0"/>
        <w:widowControl w:val="0"/>
        <w:snapToGrid w:val="0"/>
        <w:spacing w:before="0" w:after="0" w:line="360" w:lineRule="auto"/>
        <w:ind w:firstLine="3233" w:firstLineChars="1150"/>
        <w:jc w:val="both"/>
        <w:rPr>
          <w:rFonts w:hint="eastAsia" w:ascii="仿宋" w:hAnsi="仿宋" w:eastAsia="仿宋" w:cs="仿宋"/>
          <w:b/>
          <w:sz w:val="28"/>
          <w:szCs w:val="28"/>
        </w:rPr>
      </w:pPr>
      <w:r>
        <w:rPr>
          <w:rFonts w:hint="eastAsia" w:ascii="仿宋" w:hAnsi="仿宋" w:eastAsia="仿宋" w:cs="仿宋"/>
          <w:b/>
          <w:sz w:val="28"/>
          <w:szCs w:val="28"/>
        </w:rPr>
        <w:t>招标项目</w:t>
      </w:r>
      <w:bookmarkEnd w:id="78"/>
      <w:bookmarkEnd w:id="79"/>
      <w:bookmarkEnd w:id="80"/>
      <w:r>
        <w:rPr>
          <w:rFonts w:hint="eastAsia" w:ascii="仿宋" w:hAnsi="仿宋" w:eastAsia="仿宋" w:cs="仿宋"/>
          <w:b/>
          <w:sz w:val="28"/>
          <w:szCs w:val="28"/>
        </w:rPr>
        <w:t>技术要求</w:t>
      </w:r>
      <w:bookmarkEnd w:id="81"/>
    </w:p>
    <w:p w14:paraId="2C012411">
      <w:pPr>
        <w:pStyle w:val="3"/>
        <w:keepNext w:val="0"/>
        <w:keepLines w:val="0"/>
        <w:tabs>
          <w:tab w:val="left" w:pos="720"/>
        </w:tabs>
        <w:snapToGrid w:val="0"/>
        <w:spacing w:before="0" w:after="0"/>
        <w:jc w:val="both"/>
        <w:rPr>
          <w:rFonts w:hint="eastAsia" w:ascii="仿宋" w:hAnsi="仿宋" w:eastAsia="仿宋" w:cs="仿宋"/>
          <w:b w:val="0"/>
          <w:kern w:val="44"/>
          <w:szCs w:val="28"/>
        </w:rPr>
      </w:pPr>
      <w:bookmarkStart w:id="82" w:name="_Toc123786891"/>
      <w:r>
        <w:rPr>
          <w:rFonts w:hint="eastAsia" w:ascii="仿宋" w:hAnsi="仿宋" w:eastAsia="仿宋" w:cs="仿宋"/>
          <w:b w:val="0"/>
          <w:kern w:val="44"/>
          <w:szCs w:val="28"/>
        </w:rPr>
        <w:t>一、项目详细技术要求</w:t>
      </w:r>
      <w:bookmarkEnd w:id="82"/>
    </w:p>
    <w:p w14:paraId="24EA9B58">
      <w:pPr>
        <w:snapToGrid w:val="0"/>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1、投标方要根据</w:t>
      </w:r>
      <w:r>
        <w:rPr>
          <w:rFonts w:hint="eastAsia" w:ascii="仿宋" w:hAnsi="仿宋" w:eastAsia="仿宋" w:cs="仿宋"/>
          <w:kern w:val="44"/>
          <w:sz w:val="28"/>
          <w:szCs w:val="28"/>
          <w:lang w:eastAsia="zh-CN"/>
        </w:rPr>
        <w:t>朗坤环保能源（茂名）有限公司</w:t>
      </w:r>
      <w:r>
        <w:rPr>
          <w:rFonts w:hint="eastAsia" w:ascii="仿宋" w:hAnsi="仿宋" w:eastAsia="仿宋" w:cs="仿宋"/>
          <w:kern w:val="44"/>
          <w:sz w:val="28"/>
          <w:szCs w:val="28"/>
        </w:rPr>
        <w:t>设施工艺情况，提供有指导意义的技术方案，指导如何才能合理节约环保材料的消耗，满足我厂环保指标的达标排放。</w:t>
      </w:r>
      <w:r>
        <w:rPr>
          <w:rFonts w:hint="eastAsia" w:ascii="仿宋" w:hAnsi="仿宋" w:eastAsia="仿宋" w:cs="仿宋"/>
          <w:kern w:val="44"/>
          <w:sz w:val="28"/>
          <w:szCs w:val="28"/>
          <w:lang w:eastAsia="zh-CN"/>
        </w:rPr>
        <w:t>朗坤环保能源（茂名）有限公司</w:t>
      </w:r>
      <w:r>
        <w:rPr>
          <w:rFonts w:hint="eastAsia" w:ascii="仿宋" w:hAnsi="仿宋" w:eastAsia="仿宋" w:cs="仿宋"/>
          <w:sz w:val="28"/>
          <w:szCs w:val="28"/>
        </w:rPr>
        <w:t>烟气净化系统工艺如下：采用半干法+活性炭吸附+布袋除尘器+SNCR，其中活性炭系统自活性炭间至尾部烟道；干粉系统（氢氧化钙粉）自干粉间至尾部烟道；石灰制浆系统（氢氧化钙粉）从石灰浆制备间至脱酸塔；尿素自SNCR间至锅炉高温区；螯合剂与飞灰螯合后装袋。根据烟气处理其它项目参考活性炭单耗约为   吨/天，氢氧化钙单耗为   吨/天；尿素单耗约为   吨/天；螯合剂单耗约为  吨/天。</w:t>
      </w:r>
      <w:r>
        <w:rPr>
          <w:rFonts w:hint="eastAsia" w:ascii="仿宋" w:hAnsi="仿宋" w:eastAsia="仿宋" w:cs="仿宋"/>
          <w:kern w:val="44"/>
          <w:sz w:val="28"/>
          <w:szCs w:val="28"/>
        </w:rPr>
        <w:t>朗坤环保茂名</w:t>
      </w:r>
      <w:r>
        <w:rPr>
          <w:rFonts w:hint="eastAsia" w:ascii="仿宋" w:hAnsi="仿宋" w:eastAsia="仿宋" w:cs="仿宋"/>
          <w:sz w:val="28"/>
          <w:szCs w:val="28"/>
        </w:rPr>
        <w:t>项目日进场垃圾量约为    吨/天，按年运行8000小时（即330天）计算，年需消耗活性炭约为  吨；氢氧化钙约为   吨；尿素约为  吨;螯合剂约为  吨。</w:t>
      </w:r>
    </w:p>
    <w:p w14:paraId="10C9FCF8">
      <w:pPr>
        <w:spacing w:line="440" w:lineRule="exact"/>
        <w:rPr>
          <w:rFonts w:hint="eastAsia" w:ascii="仿宋" w:hAnsi="仿宋" w:eastAsia="仿宋" w:cs="仿宋"/>
          <w:kern w:val="44"/>
          <w:sz w:val="28"/>
          <w:szCs w:val="28"/>
        </w:rPr>
      </w:pPr>
      <w:r>
        <w:rPr>
          <w:rFonts w:hint="eastAsia" w:ascii="仿宋" w:hAnsi="仿宋" w:eastAsia="仿宋" w:cs="仿宋"/>
          <w:kern w:val="44"/>
          <w:sz w:val="28"/>
          <w:szCs w:val="28"/>
        </w:rPr>
        <w:t>2、投标方所提供环保材料要确保环保排放达到《生活垃圾焚烧污染物控制标准》GB18485-2014的要求。</w:t>
      </w:r>
    </w:p>
    <w:p w14:paraId="1C962485">
      <w:pPr>
        <w:snapToGrid w:val="0"/>
        <w:spacing w:line="440" w:lineRule="exact"/>
        <w:rPr>
          <w:rFonts w:hint="eastAsia" w:ascii="仿宋" w:hAnsi="仿宋" w:eastAsia="仿宋" w:cs="仿宋"/>
          <w:kern w:val="44"/>
          <w:sz w:val="28"/>
          <w:szCs w:val="28"/>
        </w:rPr>
      </w:pPr>
    </w:p>
    <w:p w14:paraId="7A0F3AAE">
      <w:pPr>
        <w:numPr>
          <w:ilvl w:val="0"/>
          <w:numId w:val="0"/>
        </w:numPr>
        <w:rPr>
          <w:rFonts w:ascii="宋体" w:hAnsi="宋体"/>
          <w:szCs w:val="24"/>
          <w:highlight w:val="yellow"/>
        </w:rPr>
      </w:pP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4183">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4AE5D9DF">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19</w:t>
            </w:r>
            <w:r>
              <w:rPr>
                <w:rFonts w:hint="eastAsia" w:asciiTheme="minorEastAsia" w:hAnsiTheme="minorEastAsia" w:eastAsiaTheme="minorEastAsia"/>
                <w:kern w:val="0"/>
                <w:sz w:val="21"/>
                <w:szCs w:val="21"/>
              </w:rPr>
              <w:t xml:space="preserve"> 页</w:t>
            </w:r>
          </w:p>
        </w:sdtContent>
      </w:sdt>
    </w:sdtContent>
  </w:sdt>
  <w:p w14:paraId="45939DC3">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7422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18430">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62BBDB7">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19</w:t>
                </w:r>
                <w:r>
                  <w:rPr>
                    <w:rFonts w:hint="eastAsia"/>
                    <w:kern w:val="0"/>
                    <w:sz w:val="21"/>
                    <w:szCs w:val="21"/>
                  </w:rPr>
                  <w:t>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AC65">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19</w:t>
    </w:r>
    <w:r>
      <w:rPr>
        <w:rFonts w:ascii="宋体" w:hAnsi="宋体" w:eastAsia="宋体"/>
        <w:sz w:val="21"/>
        <w:szCs w:val="21"/>
      </w:rPr>
      <w:fldChar w:fldCharType="end"/>
    </w:r>
    <w:r>
      <w:rPr>
        <w:rFonts w:hint="eastAsia" w:ascii="宋体" w:hAnsi="宋体" w:eastAsia="宋体"/>
        <w:sz w:val="21"/>
        <w:szCs w:val="21"/>
      </w:rPr>
      <w:t>页</w:t>
    </w:r>
  </w:p>
  <w:p w14:paraId="3901ADC1">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221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73517304">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79E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19</w:t>
    </w:r>
    <w:r>
      <w:rPr>
        <w:rFonts w:hint="eastAsia" w:ascii="宋体" w:hAnsi="宋体" w:eastAsia="宋体"/>
        <w:sz w:val="21"/>
        <w:szCs w:val="21"/>
      </w:rPr>
      <w:t>页</w:t>
    </w:r>
  </w:p>
  <w:p w14:paraId="093A0AF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21F3C">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12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695C">
    <w:pPr>
      <w:pBdr>
        <w:bottom w:val="single" w:color="auto" w:sz="4" w:space="1"/>
      </w:pBdr>
      <w:rPr>
        <w:rFonts w:ascii="宋体" w:hAnsi="宋体" w:eastAsia="宋体"/>
        <w:sz w:val="21"/>
        <w:szCs w:val="21"/>
      </w:rPr>
    </w:pPr>
  </w:p>
  <w:p w14:paraId="4B0CBC90">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6E1B">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A20B25"/>
    <w:multiLevelType w:val="singleLevel"/>
    <w:tmpl w:val="64A20B25"/>
    <w:lvl w:ilvl="0" w:tentative="0">
      <w:start w:val="1"/>
      <w:numFmt w:val="chineseCounting"/>
      <w:suff w:val="nothing"/>
      <w:lvlText w:val="%1）"/>
      <w:lvlJc w:val="left"/>
      <w:rPr>
        <w:rFonts w:hint="eastAsia"/>
      </w:rPr>
    </w:lvl>
  </w:abstractNum>
  <w:abstractNum w:abstractNumId="1">
    <w:nsid w:val="6BD93320"/>
    <w:multiLevelType w:val="multilevel"/>
    <w:tmpl w:val="6BD9332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D6899"/>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088A"/>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1EF"/>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1483505"/>
    <w:rsid w:val="01A7647D"/>
    <w:rsid w:val="01B14C06"/>
    <w:rsid w:val="034675D0"/>
    <w:rsid w:val="03D0021A"/>
    <w:rsid w:val="03FB485E"/>
    <w:rsid w:val="04235541"/>
    <w:rsid w:val="05575AC4"/>
    <w:rsid w:val="05E43751"/>
    <w:rsid w:val="065F7326"/>
    <w:rsid w:val="068428E9"/>
    <w:rsid w:val="0728596A"/>
    <w:rsid w:val="07464042"/>
    <w:rsid w:val="07B0770E"/>
    <w:rsid w:val="07E15B19"/>
    <w:rsid w:val="07F93B7A"/>
    <w:rsid w:val="082F0F7A"/>
    <w:rsid w:val="085608FD"/>
    <w:rsid w:val="089112ED"/>
    <w:rsid w:val="08C81C73"/>
    <w:rsid w:val="0A56558B"/>
    <w:rsid w:val="0A7669ED"/>
    <w:rsid w:val="0AB37C41"/>
    <w:rsid w:val="0ABB035C"/>
    <w:rsid w:val="0AC21C32"/>
    <w:rsid w:val="0B2C78C3"/>
    <w:rsid w:val="0B316DB7"/>
    <w:rsid w:val="0B3F14D4"/>
    <w:rsid w:val="0B5F3925"/>
    <w:rsid w:val="0B892750"/>
    <w:rsid w:val="0C593912"/>
    <w:rsid w:val="0CC04897"/>
    <w:rsid w:val="0CD345CA"/>
    <w:rsid w:val="0DE34399"/>
    <w:rsid w:val="0E5B794D"/>
    <w:rsid w:val="0EA87391"/>
    <w:rsid w:val="0F024CF3"/>
    <w:rsid w:val="0F916F1E"/>
    <w:rsid w:val="106F5AD2"/>
    <w:rsid w:val="107B2FAF"/>
    <w:rsid w:val="1092654A"/>
    <w:rsid w:val="11603F53"/>
    <w:rsid w:val="11765524"/>
    <w:rsid w:val="11D84431"/>
    <w:rsid w:val="12763A52"/>
    <w:rsid w:val="12D70244"/>
    <w:rsid w:val="12EA7F78"/>
    <w:rsid w:val="13010F42"/>
    <w:rsid w:val="13086650"/>
    <w:rsid w:val="133A3925"/>
    <w:rsid w:val="14F25809"/>
    <w:rsid w:val="151412DC"/>
    <w:rsid w:val="1543632C"/>
    <w:rsid w:val="158521DA"/>
    <w:rsid w:val="158F4E06"/>
    <w:rsid w:val="159D5775"/>
    <w:rsid w:val="159E329B"/>
    <w:rsid w:val="16445BF1"/>
    <w:rsid w:val="16710EBD"/>
    <w:rsid w:val="168B1A72"/>
    <w:rsid w:val="16975AF5"/>
    <w:rsid w:val="16CA721C"/>
    <w:rsid w:val="1706734A"/>
    <w:rsid w:val="1711641B"/>
    <w:rsid w:val="17323584"/>
    <w:rsid w:val="17CA0378"/>
    <w:rsid w:val="182E4DAB"/>
    <w:rsid w:val="18406A73"/>
    <w:rsid w:val="18C15C1F"/>
    <w:rsid w:val="18FB5F94"/>
    <w:rsid w:val="193C7053"/>
    <w:rsid w:val="194523AC"/>
    <w:rsid w:val="195C76F5"/>
    <w:rsid w:val="19687E48"/>
    <w:rsid w:val="1A023DF9"/>
    <w:rsid w:val="1A8011C2"/>
    <w:rsid w:val="1B061915"/>
    <w:rsid w:val="1B067919"/>
    <w:rsid w:val="1B580907"/>
    <w:rsid w:val="1BC42663"/>
    <w:rsid w:val="1C8F393E"/>
    <w:rsid w:val="1CBF4223"/>
    <w:rsid w:val="1D62374A"/>
    <w:rsid w:val="1DCD2970"/>
    <w:rsid w:val="1DD106B2"/>
    <w:rsid w:val="1DFC3255"/>
    <w:rsid w:val="1E05035C"/>
    <w:rsid w:val="1EAE454F"/>
    <w:rsid w:val="1F070103"/>
    <w:rsid w:val="1F1B770B"/>
    <w:rsid w:val="1F971487"/>
    <w:rsid w:val="1FD47FE6"/>
    <w:rsid w:val="20BC5C20"/>
    <w:rsid w:val="20E73D48"/>
    <w:rsid w:val="20E97AC1"/>
    <w:rsid w:val="21A41C3A"/>
    <w:rsid w:val="21EB1616"/>
    <w:rsid w:val="21FA7AAB"/>
    <w:rsid w:val="228850B7"/>
    <w:rsid w:val="228A52D3"/>
    <w:rsid w:val="228F4698"/>
    <w:rsid w:val="22A719E1"/>
    <w:rsid w:val="23700025"/>
    <w:rsid w:val="237C10C0"/>
    <w:rsid w:val="23A128D5"/>
    <w:rsid w:val="23C55669"/>
    <w:rsid w:val="240F17D6"/>
    <w:rsid w:val="243A0633"/>
    <w:rsid w:val="24DD793C"/>
    <w:rsid w:val="253A4D8F"/>
    <w:rsid w:val="256C2A6E"/>
    <w:rsid w:val="258B52DD"/>
    <w:rsid w:val="25BE6FE6"/>
    <w:rsid w:val="26606A77"/>
    <w:rsid w:val="26661BB3"/>
    <w:rsid w:val="26D16D39"/>
    <w:rsid w:val="271B299E"/>
    <w:rsid w:val="278A5506"/>
    <w:rsid w:val="285223EF"/>
    <w:rsid w:val="28771E56"/>
    <w:rsid w:val="288602EB"/>
    <w:rsid w:val="28862099"/>
    <w:rsid w:val="28BE1833"/>
    <w:rsid w:val="28E374EB"/>
    <w:rsid w:val="297A7E50"/>
    <w:rsid w:val="29A625D1"/>
    <w:rsid w:val="29F23E8A"/>
    <w:rsid w:val="2A293624"/>
    <w:rsid w:val="2AFB43D6"/>
    <w:rsid w:val="2BD355F5"/>
    <w:rsid w:val="2BE23739"/>
    <w:rsid w:val="2C155C0E"/>
    <w:rsid w:val="2C3170D7"/>
    <w:rsid w:val="2C74487D"/>
    <w:rsid w:val="2C9E3E55"/>
    <w:rsid w:val="2DC45B3D"/>
    <w:rsid w:val="2E92252E"/>
    <w:rsid w:val="2EE63891"/>
    <w:rsid w:val="2F01691D"/>
    <w:rsid w:val="2F963509"/>
    <w:rsid w:val="305B02AF"/>
    <w:rsid w:val="306A22A0"/>
    <w:rsid w:val="31091AB9"/>
    <w:rsid w:val="31941AD5"/>
    <w:rsid w:val="31EA5447"/>
    <w:rsid w:val="32432DA9"/>
    <w:rsid w:val="32DC6EF6"/>
    <w:rsid w:val="333D5A4A"/>
    <w:rsid w:val="339733AC"/>
    <w:rsid w:val="345E211C"/>
    <w:rsid w:val="34D16D92"/>
    <w:rsid w:val="34E97C37"/>
    <w:rsid w:val="353C6584"/>
    <w:rsid w:val="35B244CD"/>
    <w:rsid w:val="35F920FC"/>
    <w:rsid w:val="360B1E2F"/>
    <w:rsid w:val="360F36CE"/>
    <w:rsid w:val="362D624A"/>
    <w:rsid w:val="36590DED"/>
    <w:rsid w:val="36B424C7"/>
    <w:rsid w:val="36BB51F4"/>
    <w:rsid w:val="36E20DE2"/>
    <w:rsid w:val="37092813"/>
    <w:rsid w:val="37403D5B"/>
    <w:rsid w:val="37BC7885"/>
    <w:rsid w:val="38A345A1"/>
    <w:rsid w:val="39447B32"/>
    <w:rsid w:val="39C649EB"/>
    <w:rsid w:val="39D37108"/>
    <w:rsid w:val="3A0472C2"/>
    <w:rsid w:val="3A465B2C"/>
    <w:rsid w:val="3A4F2C33"/>
    <w:rsid w:val="3A773F37"/>
    <w:rsid w:val="3A9B5E78"/>
    <w:rsid w:val="3AC90E15"/>
    <w:rsid w:val="3B8E32E7"/>
    <w:rsid w:val="3BDA477E"/>
    <w:rsid w:val="3C08753D"/>
    <w:rsid w:val="3C522566"/>
    <w:rsid w:val="3C94492D"/>
    <w:rsid w:val="3CF8135F"/>
    <w:rsid w:val="3DEF3806"/>
    <w:rsid w:val="3E4D7489"/>
    <w:rsid w:val="3EA177D5"/>
    <w:rsid w:val="3EEC6CA2"/>
    <w:rsid w:val="3F057D64"/>
    <w:rsid w:val="3F8073EA"/>
    <w:rsid w:val="3FF91CB6"/>
    <w:rsid w:val="4010076E"/>
    <w:rsid w:val="40FE0F0E"/>
    <w:rsid w:val="42021EDE"/>
    <w:rsid w:val="421F113C"/>
    <w:rsid w:val="42254279"/>
    <w:rsid w:val="422B5D33"/>
    <w:rsid w:val="425B7C9B"/>
    <w:rsid w:val="429F227D"/>
    <w:rsid w:val="43C04259"/>
    <w:rsid w:val="446F6F84"/>
    <w:rsid w:val="44F214EB"/>
    <w:rsid w:val="45A3254E"/>
    <w:rsid w:val="45D73ADC"/>
    <w:rsid w:val="45E71F71"/>
    <w:rsid w:val="460C19D8"/>
    <w:rsid w:val="46821C9A"/>
    <w:rsid w:val="468E639A"/>
    <w:rsid w:val="46B81B60"/>
    <w:rsid w:val="471274C2"/>
    <w:rsid w:val="474B4782"/>
    <w:rsid w:val="47AA0C6D"/>
    <w:rsid w:val="47C84024"/>
    <w:rsid w:val="47F366F7"/>
    <w:rsid w:val="4883314B"/>
    <w:rsid w:val="48AA101E"/>
    <w:rsid w:val="495F4514"/>
    <w:rsid w:val="49631BE5"/>
    <w:rsid w:val="496F0BFB"/>
    <w:rsid w:val="4972249A"/>
    <w:rsid w:val="49A63EF1"/>
    <w:rsid w:val="4A282B58"/>
    <w:rsid w:val="4A6242BC"/>
    <w:rsid w:val="4A6B22B2"/>
    <w:rsid w:val="4A8A3813"/>
    <w:rsid w:val="4AA85A47"/>
    <w:rsid w:val="4ABB577A"/>
    <w:rsid w:val="4AC959D0"/>
    <w:rsid w:val="4AD4683C"/>
    <w:rsid w:val="4AE56E9A"/>
    <w:rsid w:val="4B0E200C"/>
    <w:rsid w:val="4B983D0E"/>
    <w:rsid w:val="4BF20AB3"/>
    <w:rsid w:val="4C4579F1"/>
    <w:rsid w:val="4C7107E7"/>
    <w:rsid w:val="4C8D3147"/>
    <w:rsid w:val="4D05121C"/>
    <w:rsid w:val="4D6420F9"/>
    <w:rsid w:val="4D8A1CAF"/>
    <w:rsid w:val="4E7B594C"/>
    <w:rsid w:val="4EF851EF"/>
    <w:rsid w:val="4F2A189B"/>
    <w:rsid w:val="4F3E697A"/>
    <w:rsid w:val="4F894099"/>
    <w:rsid w:val="50336826"/>
    <w:rsid w:val="520B2954"/>
    <w:rsid w:val="52291B63"/>
    <w:rsid w:val="528943B0"/>
    <w:rsid w:val="53805784"/>
    <w:rsid w:val="53EC109A"/>
    <w:rsid w:val="54181E8F"/>
    <w:rsid w:val="54E87AB4"/>
    <w:rsid w:val="55085BEA"/>
    <w:rsid w:val="5568451C"/>
    <w:rsid w:val="557C1FAA"/>
    <w:rsid w:val="557D34DC"/>
    <w:rsid w:val="558772CD"/>
    <w:rsid w:val="569F23F4"/>
    <w:rsid w:val="571E3D72"/>
    <w:rsid w:val="57511940"/>
    <w:rsid w:val="579B705F"/>
    <w:rsid w:val="57A547F7"/>
    <w:rsid w:val="57F329F7"/>
    <w:rsid w:val="582F76E0"/>
    <w:rsid w:val="583A6878"/>
    <w:rsid w:val="58DF4D2A"/>
    <w:rsid w:val="591F15CA"/>
    <w:rsid w:val="593B714F"/>
    <w:rsid w:val="595C281E"/>
    <w:rsid w:val="597B0EF6"/>
    <w:rsid w:val="5AD92379"/>
    <w:rsid w:val="5B3550D5"/>
    <w:rsid w:val="5B386973"/>
    <w:rsid w:val="5B694D7F"/>
    <w:rsid w:val="5C05424F"/>
    <w:rsid w:val="5C25514A"/>
    <w:rsid w:val="5C3F2626"/>
    <w:rsid w:val="5CA442C0"/>
    <w:rsid w:val="5D174D32"/>
    <w:rsid w:val="5D3513BC"/>
    <w:rsid w:val="5D521F6E"/>
    <w:rsid w:val="5D65398D"/>
    <w:rsid w:val="5DE54B90"/>
    <w:rsid w:val="5E336092"/>
    <w:rsid w:val="5E3D49CC"/>
    <w:rsid w:val="5EF961CD"/>
    <w:rsid w:val="5F4B4EC7"/>
    <w:rsid w:val="5FC44C79"/>
    <w:rsid w:val="5FD77BF1"/>
    <w:rsid w:val="602F47E9"/>
    <w:rsid w:val="608C1C3B"/>
    <w:rsid w:val="60FF41BB"/>
    <w:rsid w:val="611B7262"/>
    <w:rsid w:val="62D6719E"/>
    <w:rsid w:val="62D90A3C"/>
    <w:rsid w:val="62E80C7F"/>
    <w:rsid w:val="631321A0"/>
    <w:rsid w:val="63253C81"/>
    <w:rsid w:val="632B573B"/>
    <w:rsid w:val="637D2331"/>
    <w:rsid w:val="637F5A87"/>
    <w:rsid w:val="63974B7F"/>
    <w:rsid w:val="63CC5F76"/>
    <w:rsid w:val="63E45BD4"/>
    <w:rsid w:val="640D6BEF"/>
    <w:rsid w:val="64281C7B"/>
    <w:rsid w:val="647B13BB"/>
    <w:rsid w:val="64C80D68"/>
    <w:rsid w:val="652C12F7"/>
    <w:rsid w:val="65332685"/>
    <w:rsid w:val="65384140"/>
    <w:rsid w:val="654A5952"/>
    <w:rsid w:val="65F26CA4"/>
    <w:rsid w:val="66644AC0"/>
    <w:rsid w:val="66AD6467"/>
    <w:rsid w:val="66E410C4"/>
    <w:rsid w:val="67D55C76"/>
    <w:rsid w:val="68A35D74"/>
    <w:rsid w:val="68D46AC8"/>
    <w:rsid w:val="68F465CF"/>
    <w:rsid w:val="69DA7573"/>
    <w:rsid w:val="6A0171F6"/>
    <w:rsid w:val="6A0D33A3"/>
    <w:rsid w:val="6A3D3FA6"/>
    <w:rsid w:val="6A4250A0"/>
    <w:rsid w:val="6A470981"/>
    <w:rsid w:val="6A4C5F97"/>
    <w:rsid w:val="6A5C442C"/>
    <w:rsid w:val="6A9C0CCD"/>
    <w:rsid w:val="6AB9187F"/>
    <w:rsid w:val="6B013699"/>
    <w:rsid w:val="6B3B2294"/>
    <w:rsid w:val="6B57021C"/>
    <w:rsid w:val="6BA047ED"/>
    <w:rsid w:val="6BE91CF0"/>
    <w:rsid w:val="6C4E5FF7"/>
    <w:rsid w:val="6C8C6B1F"/>
    <w:rsid w:val="6CE64481"/>
    <w:rsid w:val="6D567859"/>
    <w:rsid w:val="6DA85BDA"/>
    <w:rsid w:val="6DFFD528"/>
    <w:rsid w:val="6E66587A"/>
    <w:rsid w:val="6EC3758C"/>
    <w:rsid w:val="6FEF7AF1"/>
    <w:rsid w:val="70910BA8"/>
    <w:rsid w:val="709A7A5C"/>
    <w:rsid w:val="70CD6084"/>
    <w:rsid w:val="70EC5DDE"/>
    <w:rsid w:val="70F25AEA"/>
    <w:rsid w:val="713954C7"/>
    <w:rsid w:val="71F36F0B"/>
    <w:rsid w:val="74550C41"/>
    <w:rsid w:val="74D30172"/>
    <w:rsid w:val="750D2EF3"/>
    <w:rsid w:val="754D1541"/>
    <w:rsid w:val="7553467E"/>
    <w:rsid w:val="75CB4B5C"/>
    <w:rsid w:val="75ED37DD"/>
    <w:rsid w:val="76010833"/>
    <w:rsid w:val="760F4CDA"/>
    <w:rsid w:val="76165DD7"/>
    <w:rsid w:val="7634625D"/>
    <w:rsid w:val="76F0487A"/>
    <w:rsid w:val="76FB6D7B"/>
    <w:rsid w:val="777D3C34"/>
    <w:rsid w:val="77E048EF"/>
    <w:rsid w:val="78994A9D"/>
    <w:rsid w:val="795D1F6F"/>
    <w:rsid w:val="797D25FA"/>
    <w:rsid w:val="79915775"/>
    <w:rsid w:val="7B1228E5"/>
    <w:rsid w:val="7CC52305"/>
    <w:rsid w:val="7D124E1E"/>
    <w:rsid w:val="7D4C20DE"/>
    <w:rsid w:val="7D5947FB"/>
    <w:rsid w:val="7D7F6A8A"/>
    <w:rsid w:val="7D8B70AB"/>
    <w:rsid w:val="7DFF35F5"/>
    <w:rsid w:val="7E977CD1"/>
    <w:rsid w:val="7F1B385A"/>
    <w:rsid w:val="7F7840F3"/>
    <w:rsid w:val="7F9D30C5"/>
    <w:rsid w:val="7FA53D28"/>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6127</Words>
  <Characters>6757</Characters>
  <Lines>48</Lines>
  <Paragraphs>13</Paragraphs>
  <TotalTime>4</TotalTime>
  <ScaleCrop>false</ScaleCrop>
  <LinksUpToDate>false</LinksUpToDate>
  <CharactersWithSpaces>7410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梅西</cp:lastModifiedBy>
  <cp:lastPrinted>2020-09-18T22:29:00Z</cp:lastPrinted>
  <dcterms:modified xsi:type="dcterms:W3CDTF">2025-05-14T08:08:10Z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D3745B240752468198C0D5383B4EF188_12</vt:lpwstr>
  </property>
  <property fmtid="{D5CDD505-2E9C-101B-9397-08002B2CF9AE}" pid="4" name="KSOTemplateDocerSaveRecord">
    <vt:lpwstr>eyJoZGlkIjoiZDhkNGNmNmQ1OTE2OTJhMzQyMzdlZmI0MjMyZDI4YzciLCJ1c2VySWQiOiIzNjg5NDY5MjUifQ==</vt:lpwstr>
  </property>
</Properties>
</file>